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附件</w:t>
      </w:r>
      <w:r>
        <w:rPr>
          <w:rFonts w:hint="eastAsia" w:ascii="仿宋_GB2312" w:hAnsi="仿宋_GB2312" w:eastAsia="仿宋_GB2312" w:cs="仿宋_GB2312"/>
          <w:b w:val="0"/>
          <w:bCs w:val="0"/>
          <w:sz w:val="28"/>
          <w:szCs w:val="28"/>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龙岩市</w:t>
      </w:r>
      <w:r>
        <w:rPr>
          <w:rFonts w:hint="eastAsia" w:ascii="方正小标宋简体" w:hAnsi="方正小标宋简体" w:eastAsia="方正小标宋简体" w:cs="方正小标宋简体"/>
          <w:b w:val="0"/>
          <w:bCs w:val="0"/>
          <w:sz w:val="44"/>
          <w:szCs w:val="44"/>
          <w:lang w:eastAsia="zh-CN"/>
        </w:rPr>
        <w:t>营业性</w:t>
      </w:r>
      <w:r>
        <w:rPr>
          <w:rFonts w:hint="eastAsia" w:ascii="方正小标宋简体" w:hAnsi="方正小标宋简体" w:eastAsia="方正小标宋简体" w:cs="方正小标宋简体"/>
          <w:b w:val="0"/>
          <w:bCs w:val="0"/>
          <w:sz w:val="44"/>
          <w:szCs w:val="44"/>
        </w:rPr>
        <w:t>爆破作业单位</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val="0"/>
          <w:bCs w:val="0"/>
          <w:sz w:val="44"/>
          <w:szCs w:val="44"/>
        </w:rPr>
        <w:t>安全生产标准化考评标准</w:t>
      </w:r>
      <w:r>
        <w:rPr>
          <w:rFonts w:hint="eastAsia" w:ascii="方正小标宋简体" w:hAnsi="方正小标宋简体" w:eastAsia="方正小标宋简体" w:cs="方正小标宋简体"/>
          <w:b w:val="0"/>
          <w:bCs w:val="0"/>
          <w:sz w:val="44"/>
          <w:szCs w:val="44"/>
          <w:lang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一、</w:t>
      </w:r>
      <w:r>
        <w:rPr>
          <w:rFonts w:hint="eastAsia" w:ascii="黑体" w:hAnsi="黑体" w:eastAsia="黑体" w:cs="黑体"/>
          <w:b w:val="0"/>
          <w:bCs w:val="0"/>
          <w:sz w:val="28"/>
          <w:szCs w:val="28"/>
        </w:rPr>
        <w:t>编制依据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《企业安全生产标准化基本规范》（GB/T33000-2016）；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2.《安全生产法》（中华人民共和国主席令第88号）；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3.《爆破安全规程》（GB 6722-2014）；</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4.《民用爆炸物品安全管理条例》（国务院令第466号）；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5.《民用爆炸物品储存库治</w:t>
      </w:r>
      <w:bookmarkStart w:id="0" w:name="_GoBack"/>
      <w:bookmarkEnd w:id="0"/>
      <w:r>
        <w:rPr>
          <w:rFonts w:hint="eastAsia" w:ascii="仿宋_GB2312" w:hAnsi="仿宋_GB2312" w:eastAsia="仿宋_GB2312" w:cs="仿宋_GB2312"/>
          <w:sz w:val="28"/>
          <w:szCs w:val="28"/>
          <w:lang w:val="en-US" w:eastAsia="zh-CN"/>
        </w:rPr>
        <w:t>安防范要求》（GA 837-2009）；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6.《小型民用爆炸物品储存库安全规范》（GA 838-2009）；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7.《爆破作业单位资质条件和管理要求》（GA 990-2012）；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8.《爆破作业项目管理要求》（GA 991-2012）；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9.《民用爆炸物品工程设计安全标准》（GB50089-2018）；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10其他相关法律法规、标准规范及主管部门要求。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二、</w:t>
      </w:r>
      <w:r>
        <w:rPr>
          <w:rFonts w:hint="eastAsia" w:ascii="黑体" w:hAnsi="黑体" w:eastAsia="黑体" w:cs="黑体"/>
          <w:b w:val="0"/>
          <w:bCs w:val="0"/>
          <w:sz w:val="28"/>
          <w:szCs w:val="28"/>
        </w:rPr>
        <w:t>编制说明</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eastAsia="zh-CN"/>
        </w:rPr>
        <w:t>标准</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eastAsia="zh-CN"/>
        </w:rPr>
        <w:t>营业性</w:t>
      </w:r>
      <w:r>
        <w:rPr>
          <w:rFonts w:hint="eastAsia" w:ascii="仿宋_GB2312" w:hAnsi="仿宋_GB2312" w:eastAsia="仿宋_GB2312" w:cs="仿宋_GB2312"/>
          <w:sz w:val="28"/>
          <w:szCs w:val="28"/>
        </w:rPr>
        <w:t>爆破作业单位的购买、运输、储存、使用、加工、检验与销毁民爆物品的全过程进行考评，共计1000分。考评采取扣分制，每项分数扣完为止，最终标得分换算成百分制。换算公式：标准化得分（百分制）=标准化工作评定得分÷（1000－不参与考评内容分数之和）×100。最后得分采用四舍五入，取小数点后一位。</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标准化等级共分为一级、二级、三级，其中一级为最高。一级≥90</w:t>
      </w:r>
      <w:r>
        <w:rPr>
          <w:rFonts w:hint="eastAsia" w:ascii="仿宋_GB2312" w:hAnsi="仿宋_GB2312" w:eastAsia="仿宋_GB2312" w:cs="仿宋_GB2312"/>
          <w:sz w:val="28"/>
          <w:szCs w:val="28"/>
          <w:lang w:eastAsia="zh-CN"/>
        </w:rPr>
        <w:t>分</w:t>
      </w:r>
      <w:r>
        <w:rPr>
          <w:rFonts w:hint="eastAsia" w:ascii="仿宋_GB2312" w:hAnsi="仿宋_GB2312" w:eastAsia="仿宋_GB2312" w:cs="仿宋_GB2312"/>
          <w:sz w:val="28"/>
          <w:szCs w:val="28"/>
        </w:rPr>
        <w:t>，二级≥</w:t>
      </w:r>
      <w:r>
        <w:rPr>
          <w:rFonts w:hint="eastAsia" w:ascii="仿宋_GB2312" w:hAnsi="仿宋_GB2312" w:eastAsia="仿宋_GB2312" w:cs="仿宋_GB2312"/>
          <w:sz w:val="28"/>
          <w:szCs w:val="28"/>
          <w:lang w:val="en-US" w:eastAsia="zh-CN"/>
        </w:rPr>
        <w:t>80分</w:t>
      </w:r>
      <w:r>
        <w:rPr>
          <w:rFonts w:hint="eastAsia" w:ascii="仿宋_GB2312" w:hAnsi="仿宋_GB2312" w:eastAsia="仿宋_GB2312" w:cs="仿宋_GB2312"/>
          <w:sz w:val="28"/>
          <w:szCs w:val="28"/>
        </w:rPr>
        <w:t>，三级≥</w:t>
      </w:r>
      <w:r>
        <w:rPr>
          <w:rFonts w:hint="eastAsia" w:ascii="仿宋_GB2312" w:hAnsi="仿宋_GB2312" w:eastAsia="仿宋_GB2312" w:cs="仿宋_GB2312"/>
          <w:sz w:val="28"/>
          <w:szCs w:val="28"/>
          <w:lang w:val="en-US" w:eastAsia="zh-CN"/>
        </w:rPr>
        <w:t>70分</w:t>
      </w:r>
      <w:r>
        <w:rPr>
          <w:rFonts w:hint="eastAsia" w:ascii="仿宋_GB2312" w:hAnsi="仿宋_GB2312" w:eastAsia="仿宋_GB2312" w:cs="仿宋_GB2312"/>
          <w:sz w:val="28"/>
          <w:szCs w:val="28"/>
        </w:rPr>
        <w:t>。</w:t>
      </w:r>
    </w:p>
    <w:p>
      <w:pPr>
        <w:ind w:firstLine="0" w:firstLineChars="0"/>
        <w:jc w:val="center"/>
        <w:rPr>
          <w:rFonts w:hint="eastAsia"/>
          <w:sz w:val="28"/>
          <w:szCs w:val="28"/>
        </w:rPr>
      </w:pPr>
    </w:p>
    <w:p>
      <w:pPr>
        <w:ind w:firstLine="0" w:firstLineChars="0"/>
        <w:jc w:val="center"/>
        <w:rPr>
          <w:rFonts w:hint="eastAsia"/>
          <w:sz w:val="28"/>
          <w:szCs w:val="28"/>
        </w:rPr>
      </w:pPr>
    </w:p>
    <w:p>
      <w:pPr>
        <w:ind w:firstLine="0" w:firstLineChars="0"/>
        <w:jc w:val="center"/>
        <w:rPr>
          <w:rFonts w:hint="eastAsia"/>
          <w:sz w:val="28"/>
          <w:szCs w:val="28"/>
        </w:rPr>
      </w:pPr>
    </w:p>
    <w:p>
      <w:pPr>
        <w:ind w:firstLine="0" w:firstLineChars="0"/>
        <w:jc w:val="center"/>
        <w:rPr>
          <w:rFonts w:hint="eastAsia"/>
          <w:sz w:val="28"/>
          <w:szCs w:val="28"/>
        </w:rPr>
      </w:pPr>
    </w:p>
    <w:p>
      <w:pPr>
        <w:ind w:firstLine="0" w:firstLineChars="0"/>
        <w:jc w:val="center"/>
        <w:rPr>
          <w:sz w:val="28"/>
          <w:szCs w:val="28"/>
        </w:rPr>
      </w:pPr>
      <w:r>
        <w:rPr>
          <w:rFonts w:hint="eastAsia"/>
          <w:sz w:val="28"/>
          <w:szCs w:val="28"/>
        </w:rPr>
        <w:t>表1  安全生产标准化基本规范要素一览表</w:t>
      </w:r>
    </w:p>
    <w:tbl>
      <w:tblPr>
        <w:tblStyle w:val="6"/>
        <w:tblW w:w="9128" w:type="dxa"/>
        <w:jc w:val="center"/>
        <w:tblInd w:w="-307" w:type="dxa"/>
        <w:tblLayout w:type="fixed"/>
        <w:tblCellMar>
          <w:top w:w="0" w:type="dxa"/>
          <w:left w:w="108" w:type="dxa"/>
          <w:bottom w:w="0" w:type="dxa"/>
          <w:right w:w="108" w:type="dxa"/>
        </w:tblCellMar>
      </w:tblPr>
      <w:tblGrid>
        <w:gridCol w:w="1587"/>
        <w:gridCol w:w="2324"/>
        <w:gridCol w:w="654"/>
        <w:gridCol w:w="1587"/>
        <w:gridCol w:w="2324"/>
        <w:gridCol w:w="652"/>
      </w:tblGrid>
      <w:tr>
        <w:tblPrEx>
          <w:tblLayout w:type="fixed"/>
          <w:tblCellMar>
            <w:top w:w="0" w:type="dxa"/>
            <w:left w:w="108" w:type="dxa"/>
            <w:bottom w:w="0" w:type="dxa"/>
            <w:right w:w="108" w:type="dxa"/>
          </w:tblCellMar>
        </w:tblPrEx>
        <w:trPr>
          <w:trHeight w:val="567"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一级要素</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二级要素</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分值</w:t>
            </w:r>
          </w:p>
        </w:tc>
        <w:tc>
          <w:tcPr>
            <w:tcW w:w="1587"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一级要素</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二级要素</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分值</w:t>
            </w:r>
          </w:p>
        </w:tc>
      </w:tr>
      <w:tr>
        <w:tblPrEx>
          <w:tblLayout w:type="fixed"/>
          <w:tblCellMar>
            <w:top w:w="0" w:type="dxa"/>
            <w:left w:w="108" w:type="dxa"/>
            <w:bottom w:w="0" w:type="dxa"/>
            <w:right w:w="108" w:type="dxa"/>
          </w:tblCellMar>
        </w:tblPrEx>
        <w:trPr>
          <w:trHeight w:val="567" w:hRule="atLeast"/>
          <w:jc w:val="center"/>
        </w:trPr>
        <w:tc>
          <w:tcPr>
            <w:tcW w:w="158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1.目标职责</w:t>
            </w:r>
            <w:r>
              <w:rPr>
                <w:rFonts w:hint="eastAsia" w:ascii="宋体" w:hAnsi="宋体" w:cs="宋体"/>
                <w:kern w:val="0"/>
                <w:sz w:val="18"/>
                <w:szCs w:val="18"/>
              </w:rPr>
              <w:br w:type="textWrapping"/>
            </w:r>
            <w:r>
              <w:rPr>
                <w:rFonts w:hint="eastAsia" w:ascii="宋体" w:hAnsi="宋体" w:cs="宋体"/>
                <w:kern w:val="0"/>
                <w:sz w:val="18"/>
                <w:szCs w:val="18"/>
              </w:rPr>
              <w:t>（175分）</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1.1目标</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20</w:t>
            </w:r>
          </w:p>
        </w:tc>
        <w:tc>
          <w:tcPr>
            <w:tcW w:w="1587" w:type="dxa"/>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sz w:val="18"/>
                <w:szCs w:val="18"/>
                <w:lang w:val="en-US" w:eastAsia="zh-CN"/>
              </w:rPr>
              <w:t>5.</w:t>
            </w:r>
            <w:r>
              <w:rPr>
                <w:rFonts w:hint="eastAsia" w:ascii="宋体" w:hAnsi="宋体" w:cs="宋体"/>
                <w:sz w:val="18"/>
                <w:szCs w:val="18"/>
                <w:lang w:eastAsia="zh-CN"/>
              </w:rPr>
              <w:t>现场作业管理（</w:t>
            </w:r>
            <w:r>
              <w:rPr>
                <w:rFonts w:hint="eastAsia" w:ascii="宋体" w:hAnsi="宋体" w:cs="宋体"/>
                <w:sz w:val="18"/>
                <w:szCs w:val="18"/>
                <w:lang w:val="en-US" w:eastAsia="zh-CN"/>
              </w:rPr>
              <w:t>215分</w:t>
            </w:r>
            <w:r>
              <w:rPr>
                <w:rFonts w:hint="eastAsia" w:ascii="宋体" w:hAnsi="宋体" w:cs="宋体"/>
                <w:sz w:val="18"/>
                <w:szCs w:val="18"/>
                <w:lang w:eastAsia="zh-CN"/>
              </w:rPr>
              <w:t>）</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5.1作业条件管理</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35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1.2机构和职责</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40</w:t>
            </w:r>
          </w:p>
        </w:tc>
        <w:tc>
          <w:tcPr>
            <w:tcW w:w="1587" w:type="dxa"/>
            <w:vMerge w:val="continue"/>
            <w:tcBorders>
              <w:left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5.2设备设施管理</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1.3全员参与</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20</w:t>
            </w:r>
          </w:p>
        </w:tc>
        <w:tc>
          <w:tcPr>
            <w:tcW w:w="1587" w:type="dxa"/>
            <w:vMerge w:val="continue"/>
            <w:tcBorders>
              <w:left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5.3爆破作业安全管理</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110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1.4安全生产投入</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60</w:t>
            </w:r>
          </w:p>
        </w:tc>
        <w:tc>
          <w:tcPr>
            <w:tcW w:w="1587" w:type="dxa"/>
            <w:vMerge w:val="continue"/>
            <w:tcBorders>
              <w:left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5.4职业健康</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1.5安全文化建设</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30</w:t>
            </w:r>
          </w:p>
        </w:tc>
        <w:tc>
          <w:tcPr>
            <w:tcW w:w="1587" w:type="dxa"/>
            <w:vMerge w:val="continue"/>
            <w:tcBorders>
              <w:left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5.5警示标识</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1.6安全生产信息化建设</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5</w:t>
            </w:r>
          </w:p>
        </w:tc>
        <w:tc>
          <w:tcPr>
            <w:tcW w:w="1587" w:type="dxa"/>
            <w:vMerge w:val="continue"/>
            <w:tcBorders>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5.6钻爆一体化</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r>
      <w:tr>
        <w:tblPrEx>
          <w:tblLayout w:type="fixed"/>
          <w:tblCellMar>
            <w:top w:w="0" w:type="dxa"/>
            <w:left w:w="108" w:type="dxa"/>
            <w:bottom w:w="0" w:type="dxa"/>
            <w:right w:w="108" w:type="dxa"/>
          </w:tblCellMar>
        </w:tblPrEx>
        <w:trPr>
          <w:trHeight w:val="579" w:hRule="atLeast"/>
          <w:jc w:val="center"/>
        </w:trPr>
        <w:tc>
          <w:tcPr>
            <w:tcW w:w="158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2.制度化管理</w:t>
            </w:r>
            <w:r>
              <w:rPr>
                <w:rFonts w:hint="eastAsia" w:ascii="宋体" w:hAnsi="宋体" w:cs="宋体"/>
                <w:kern w:val="0"/>
                <w:sz w:val="18"/>
                <w:szCs w:val="18"/>
              </w:rPr>
              <w:br w:type="textWrapping"/>
            </w:r>
            <w:r>
              <w:rPr>
                <w:rFonts w:hint="eastAsia" w:ascii="宋体" w:hAnsi="宋体" w:cs="宋体"/>
                <w:kern w:val="0"/>
                <w:sz w:val="18"/>
                <w:szCs w:val="18"/>
              </w:rPr>
              <w:t>（</w:t>
            </w:r>
            <w:r>
              <w:rPr>
                <w:rFonts w:hint="eastAsia" w:ascii="宋体" w:hAnsi="宋体" w:cs="宋体"/>
                <w:kern w:val="0"/>
                <w:sz w:val="18"/>
                <w:szCs w:val="18"/>
                <w:lang w:val="en-US" w:eastAsia="zh-CN"/>
              </w:rPr>
              <w:t>90</w:t>
            </w:r>
            <w:r>
              <w:rPr>
                <w:rFonts w:hint="eastAsia" w:ascii="宋体" w:hAnsi="宋体" w:cs="宋体"/>
                <w:kern w:val="0"/>
                <w:sz w:val="18"/>
                <w:szCs w:val="18"/>
              </w:rPr>
              <w:t>分）</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2.1资质证照</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20</w:t>
            </w:r>
          </w:p>
        </w:tc>
        <w:tc>
          <w:tcPr>
            <w:tcW w:w="1587" w:type="dxa"/>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hint="eastAsia" w:ascii="宋体" w:hAnsi="宋体" w:cs="宋体"/>
                <w:sz w:val="18"/>
                <w:szCs w:val="18"/>
                <w:lang w:val="en-US" w:eastAsia="zh-CN"/>
              </w:rPr>
            </w:pPr>
            <w:r>
              <w:rPr>
                <w:rFonts w:hint="eastAsia" w:ascii="宋体" w:hAnsi="宋体" w:cs="宋体"/>
                <w:sz w:val="18"/>
                <w:szCs w:val="18"/>
                <w:lang w:val="en-US" w:eastAsia="zh-CN"/>
              </w:rPr>
              <w:t>6.安全风险分级管控及隐患排查治理双重预防</w:t>
            </w:r>
          </w:p>
          <w:p>
            <w:pPr>
              <w:widowControl/>
              <w:ind w:firstLine="0" w:firstLineChars="0"/>
              <w:jc w:val="center"/>
              <w:textAlignment w:val="center"/>
              <w:rPr>
                <w:rFonts w:hint="eastAsia" w:ascii="宋体" w:hAnsi="宋体" w:cs="宋体"/>
                <w:sz w:val="18"/>
                <w:szCs w:val="18"/>
                <w:lang w:val="en-US" w:eastAsia="zh-CN"/>
              </w:rPr>
            </w:pPr>
            <w:r>
              <w:rPr>
                <w:rFonts w:hint="eastAsia" w:ascii="宋体" w:hAnsi="宋体" w:cs="宋体"/>
                <w:sz w:val="18"/>
                <w:szCs w:val="18"/>
                <w:lang w:val="en-US" w:eastAsia="zh-CN"/>
              </w:rPr>
              <w:t>体系</w:t>
            </w:r>
          </w:p>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（115分）</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6.1建立双重预防体系制度</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2.2</w:t>
            </w:r>
            <w:r>
              <w:rPr>
                <w:rFonts w:hint="eastAsia" w:ascii="宋体" w:hAnsi="宋体" w:cs="宋体"/>
                <w:kern w:val="0"/>
                <w:sz w:val="18"/>
                <w:szCs w:val="18"/>
                <w:lang w:eastAsia="zh-CN"/>
              </w:rPr>
              <w:t>法律法规规章标准获取与评价</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10</w:t>
            </w:r>
          </w:p>
        </w:tc>
        <w:tc>
          <w:tcPr>
            <w:tcW w:w="1587" w:type="dxa"/>
            <w:vMerge w:val="continue"/>
            <w:tcBorders>
              <w:left w:val="single" w:color="000000" w:sz="4" w:space="0"/>
              <w:right w:val="single" w:color="000000" w:sz="4" w:space="0"/>
            </w:tcBorders>
            <w:vAlign w:val="center"/>
          </w:tcPr>
          <w:p>
            <w:pPr>
              <w:widowControl/>
              <w:ind w:firstLine="0" w:firstLineChars="0"/>
              <w:jc w:val="center"/>
              <w:textAlignment w:val="center"/>
              <w:rPr>
                <w:rFonts w:hint="eastAsia" w:ascii="宋体" w:hAnsi="宋体" w:cs="宋体"/>
                <w:sz w:val="18"/>
                <w:szCs w:val="18"/>
                <w:lang w:val="en-US" w:eastAsia="zh-CN"/>
              </w:rPr>
            </w:pPr>
          </w:p>
        </w:tc>
        <w:tc>
          <w:tcPr>
            <w:tcW w:w="2324" w:type="dxa"/>
            <w:tcBorders>
              <w:top w:val="single" w:color="000000" w:sz="4" w:space="0"/>
              <w:left w:val="single" w:color="000000" w:sz="4" w:space="0"/>
              <w:bottom w:val="single" w:color="auto"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6.2安全风险分级管控</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2.3</w:t>
            </w:r>
            <w:r>
              <w:rPr>
                <w:rFonts w:hint="eastAsia" w:ascii="宋体" w:hAnsi="宋体" w:cs="宋体"/>
                <w:kern w:val="0"/>
                <w:sz w:val="18"/>
                <w:szCs w:val="18"/>
                <w:lang w:eastAsia="zh-CN"/>
              </w:rPr>
              <w:t>安全管理</w:t>
            </w:r>
            <w:r>
              <w:rPr>
                <w:rFonts w:hint="eastAsia" w:ascii="宋体" w:hAnsi="宋体" w:cs="宋体"/>
                <w:kern w:val="0"/>
                <w:sz w:val="18"/>
                <w:szCs w:val="18"/>
              </w:rPr>
              <w:t>制度</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20</w:t>
            </w:r>
          </w:p>
        </w:tc>
        <w:tc>
          <w:tcPr>
            <w:tcW w:w="1587" w:type="dxa"/>
            <w:vMerge w:val="continue"/>
            <w:tcBorders>
              <w:left w:val="single" w:color="000000" w:sz="4" w:space="0"/>
              <w:right w:val="single" w:color="000000" w:sz="4" w:space="0"/>
            </w:tcBorders>
            <w:vAlign w:val="center"/>
          </w:tcPr>
          <w:p>
            <w:pPr>
              <w:widowControl/>
              <w:ind w:firstLine="0" w:firstLineChars="0"/>
              <w:jc w:val="center"/>
              <w:textAlignment w:val="center"/>
              <w:rPr>
                <w:rFonts w:hint="eastAsia" w:ascii="宋体" w:hAnsi="宋体" w:cs="宋体"/>
                <w:sz w:val="18"/>
                <w:szCs w:val="18"/>
                <w:lang w:val="en-US" w:eastAsia="zh-CN"/>
              </w:rPr>
            </w:pPr>
          </w:p>
        </w:tc>
        <w:tc>
          <w:tcPr>
            <w:tcW w:w="2324" w:type="dxa"/>
            <w:tcBorders>
              <w:top w:val="single" w:color="auto"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6.3隐患排查治理</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45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2.4</w:t>
            </w:r>
            <w:r>
              <w:rPr>
                <w:rFonts w:hint="eastAsia" w:ascii="宋体" w:hAnsi="宋体" w:cs="宋体"/>
                <w:kern w:val="0"/>
                <w:sz w:val="18"/>
                <w:szCs w:val="18"/>
                <w:lang w:eastAsia="zh-CN"/>
              </w:rPr>
              <w:t>安全技术</w:t>
            </w:r>
            <w:r>
              <w:rPr>
                <w:rFonts w:hint="eastAsia" w:ascii="宋体" w:hAnsi="宋体" w:cs="宋体"/>
                <w:kern w:val="0"/>
                <w:sz w:val="18"/>
                <w:szCs w:val="18"/>
              </w:rPr>
              <w:t>操作规程</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20</w:t>
            </w:r>
          </w:p>
        </w:tc>
        <w:tc>
          <w:tcPr>
            <w:tcW w:w="1587" w:type="dxa"/>
            <w:vMerge w:val="continue"/>
            <w:tcBorders>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6.4预测预警</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2.5制度评估与修订</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587" w:type="dxa"/>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hint="eastAsia" w:ascii="宋体" w:hAnsi="宋体" w:cs="宋体"/>
                <w:sz w:val="18"/>
                <w:szCs w:val="18"/>
                <w:lang w:val="en-US" w:eastAsia="zh-CN"/>
              </w:rPr>
            </w:pPr>
            <w:r>
              <w:rPr>
                <w:rFonts w:hint="eastAsia" w:ascii="宋体" w:hAnsi="宋体" w:cs="宋体"/>
                <w:sz w:val="18"/>
                <w:szCs w:val="18"/>
                <w:lang w:val="en-US" w:eastAsia="zh-CN"/>
              </w:rPr>
              <w:t>7.应急救援</w:t>
            </w:r>
          </w:p>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（65分）</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7.1应急管理</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w:t>
            </w:r>
            <w:r>
              <w:rPr>
                <w:rFonts w:hint="eastAsia" w:ascii="宋体" w:hAnsi="宋体" w:cs="宋体"/>
                <w:kern w:val="0"/>
                <w:sz w:val="18"/>
                <w:szCs w:val="18"/>
                <w:lang w:val="en-US" w:eastAsia="zh-CN"/>
              </w:rPr>
              <w:t>6文件和档案</w:t>
            </w:r>
            <w:r>
              <w:rPr>
                <w:rFonts w:hint="eastAsia" w:ascii="宋体" w:hAnsi="宋体" w:cs="宋体"/>
                <w:kern w:val="0"/>
                <w:sz w:val="18"/>
                <w:szCs w:val="18"/>
              </w:rPr>
              <w:t>管理</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10</w:t>
            </w:r>
          </w:p>
        </w:tc>
        <w:tc>
          <w:tcPr>
            <w:tcW w:w="1587" w:type="dxa"/>
            <w:vMerge w:val="continue"/>
            <w:tcBorders>
              <w:left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7.2生产安全事故应急预案</w:t>
            </w:r>
          </w:p>
        </w:tc>
        <w:tc>
          <w:tcPr>
            <w:tcW w:w="652"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r>
      <w:tr>
        <w:tblPrEx>
          <w:tblLayout w:type="fixed"/>
          <w:tblCellMar>
            <w:top w:w="0" w:type="dxa"/>
            <w:left w:w="108" w:type="dxa"/>
            <w:bottom w:w="0" w:type="dxa"/>
            <w:right w:w="108" w:type="dxa"/>
          </w:tblCellMar>
        </w:tblPrEx>
        <w:trPr>
          <w:trHeight w:val="567" w:hRule="atLeast"/>
          <w:jc w:val="center"/>
        </w:trPr>
        <w:tc>
          <w:tcPr>
            <w:tcW w:w="158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3.教育培训</w:t>
            </w:r>
            <w:r>
              <w:rPr>
                <w:rFonts w:hint="eastAsia" w:ascii="宋体" w:hAnsi="宋体" w:cs="宋体"/>
                <w:kern w:val="0"/>
                <w:sz w:val="18"/>
                <w:szCs w:val="18"/>
              </w:rPr>
              <w:br w:type="textWrapping"/>
            </w:r>
            <w:r>
              <w:rPr>
                <w:rFonts w:hint="eastAsia" w:ascii="宋体" w:hAnsi="宋体" w:cs="宋体"/>
                <w:kern w:val="0"/>
                <w:sz w:val="18"/>
                <w:szCs w:val="18"/>
              </w:rPr>
              <w:t>（1</w:t>
            </w:r>
            <w:r>
              <w:rPr>
                <w:rFonts w:hint="eastAsia" w:ascii="宋体" w:hAnsi="宋体" w:cs="宋体"/>
                <w:kern w:val="0"/>
                <w:sz w:val="18"/>
                <w:szCs w:val="18"/>
                <w:lang w:val="en-US" w:eastAsia="zh-CN"/>
              </w:rPr>
              <w:t>30</w:t>
            </w:r>
            <w:r>
              <w:rPr>
                <w:rFonts w:hint="eastAsia" w:ascii="宋体" w:hAnsi="宋体" w:cs="宋体"/>
                <w:kern w:val="0"/>
                <w:sz w:val="18"/>
                <w:szCs w:val="18"/>
              </w:rPr>
              <w:t>分）</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3.1教育培训管理</w:t>
            </w:r>
          </w:p>
        </w:tc>
        <w:tc>
          <w:tcPr>
            <w:tcW w:w="65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30</w:t>
            </w:r>
          </w:p>
        </w:tc>
        <w:tc>
          <w:tcPr>
            <w:tcW w:w="1587" w:type="dxa"/>
            <w:vMerge w:val="continue"/>
            <w:tcBorders>
              <w:left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auto" w:sz="4" w:space="0"/>
              <w:right w:val="single" w:color="000000"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7.3应急机构和队伍</w:t>
            </w:r>
          </w:p>
        </w:tc>
        <w:tc>
          <w:tcPr>
            <w:tcW w:w="652" w:type="dxa"/>
            <w:tcBorders>
              <w:top w:val="single" w:color="000000" w:sz="4" w:space="0"/>
              <w:left w:val="single" w:color="000000" w:sz="4" w:space="0"/>
              <w:bottom w:val="single" w:color="auto" w:sz="4" w:space="0"/>
              <w:right w:val="single" w:color="000000"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3.2人员教育培训</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rPr>
              <w:t>1</w:t>
            </w:r>
            <w:r>
              <w:rPr>
                <w:rFonts w:hint="eastAsia" w:ascii="宋体" w:hAnsi="宋体" w:cs="宋体"/>
                <w:kern w:val="0"/>
                <w:sz w:val="18"/>
                <w:szCs w:val="18"/>
                <w:lang w:val="en-US" w:eastAsia="zh-CN"/>
              </w:rPr>
              <w:t>00</w:t>
            </w:r>
          </w:p>
        </w:tc>
        <w:tc>
          <w:tcPr>
            <w:tcW w:w="1587" w:type="dxa"/>
            <w:vMerge w:val="continue"/>
            <w:tcBorders>
              <w:left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7.4应急设施、装备、物资</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w:t>
            </w:r>
          </w:p>
        </w:tc>
      </w:tr>
      <w:tr>
        <w:tblPrEx>
          <w:tblLayout w:type="fixed"/>
          <w:tblCellMar>
            <w:top w:w="0" w:type="dxa"/>
            <w:left w:w="108" w:type="dxa"/>
            <w:bottom w:w="0" w:type="dxa"/>
            <w:right w:w="108" w:type="dxa"/>
          </w:tblCellMar>
        </w:tblPrEx>
        <w:trPr>
          <w:trHeight w:val="567" w:hRule="atLeast"/>
          <w:jc w:val="center"/>
        </w:trPr>
        <w:tc>
          <w:tcPr>
            <w:tcW w:w="1587"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cs="宋体"/>
                <w:kern w:val="0"/>
                <w:sz w:val="18"/>
                <w:szCs w:val="18"/>
                <w:lang w:eastAsia="zh-CN"/>
              </w:rPr>
            </w:pPr>
            <w:r>
              <w:rPr>
                <w:rFonts w:hint="eastAsia" w:ascii="宋体" w:hAnsi="宋体" w:cs="宋体"/>
                <w:kern w:val="0"/>
                <w:sz w:val="18"/>
                <w:szCs w:val="18"/>
              </w:rPr>
              <w:t>4.</w:t>
            </w:r>
            <w:r>
              <w:rPr>
                <w:rFonts w:hint="eastAsia" w:ascii="宋体" w:hAnsi="宋体" w:cs="宋体"/>
                <w:kern w:val="0"/>
                <w:sz w:val="18"/>
                <w:szCs w:val="18"/>
                <w:lang w:eastAsia="zh-CN"/>
              </w:rPr>
              <w:t>民爆物品</w:t>
            </w:r>
          </w:p>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lang w:eastAsia="zh-CN"/>
              </w:rPr>
              <w:t>环节管理</w:t>
            </w:r>
            <w:r>
              <w:rPr>
                <w:rFonts w:hint="eastAsia" w:ascii="宋体" w:hAnsi="宋体" w:cs="宋体"/>
                <w:kern w:val="0"/>
                <w:sz w:val="18"/>
                <w:szCs w:val="18"/>
              </w:rPr>
              <w:br w:type="textWrapping"/>
            </w:r>
            <w:r>
              <w:rPr>
                <w:rFonts w:hint="eastAsia" w:ascii="宋体" w:hAnsi="宋体" w:cs="宋体"/>
                <w:kern w:val="0"/>
                <w:sz w:val="18"/>
                <w:szCs w:val="18"/>
              </w:rPr>
              <w:t>（</w:t>
            </w:r>
            <w:r>
              <w:rPr>
                <w:rFonts w:hint="eastAsia" w:ascii="宋体" w:hAnsi="宋体" w:cs="宋体"/>
                <w:kern w:val="0"/>
                <w:sz w:val="18"/>
                <w:szCs w:val="18"/>
                <w:lang w:val="en-US" w:eastAsia="zh-CN"/>
              </w:rPr>
              <w:t>130</w:t>
            </w:r>
            <w:r>
              <w:rPr>
                <w:rFonts w:hint="eastAsia" w:ascii="宋体" w:hAnsi="宋体" w:cs="宋体"/>
                <w:kern w:val="0"/>
                <w:sz w:val="18"/>
                <w:szCs w:val="18"/>
              </w:rPr>
              <w:t>分）</w:t>
            </w: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4.1</w:t>
            </w:r>
            <w:r>
              <w:rPr>
                <w:rFonts w:hint="eastAsia" w:ascii="宋体" w:hAnsi="宋体" w:cs="宋体"/>
                <w:kern w:val="0"/>
                <w:sz w:val="18"/>
                <w:szCs w:val="18"/>
                <w:lang w:eastAsia="zh-CN"/>
              </w:rPr>
              <w:t>储存设施安全条件</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50</w:t>
            </w:r>
          </w:p>
        </w:tc>
        <w:tc>
          <w:tcPr>
            <w:tcW w:w="1587" w:type="dxa"/>
            <w:vMerge w:val="continue"/>
            <w:tcBorders>
              <w:left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7.5应急演练</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4.2</w:t>
            </w:r>
            <w:r>
              <w:rPr>
                <w:rFonts w:hint="eastAsia" w:ascii="宋体" w:hAnsi="宋体" w:cs="宋体"/>
                <w:kern w:val="0"/>
                <w:sz w:val="18"/>
                <w:szCs w:val="18"/>
                <w:lang w:eastAsia="zh-CN"/>
              </w:rPr>
              <w:t>民爆物品购买</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20</w:t>
            </w:r>
          </w:p>
        </w:tc>
        <w:tc>
          <w:tcPr>
            <w:tcW w:w="1587" w:type="dxa"/>
            <w:vMerge w:val="continue"/>
            <w:tcBorders>
              <w:left w:val="single" w:color="000000" w:sz="4" w:space="0"/>
              <w:bottom w:val="single" w:color="auto"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7.6事故救援</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4.3民爆物品储存</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20</w:t>
            </w:r>
          </w:p>
        </w:tc>
        <w:tc>
          <w:tcPr>
            <w:tcW w:w="1587" w:type="dxa"/>
            <w:vMerge w:val="restart"/>
            <w:tcBorders>
              <w:top w:val="single" w:color="auto" w:sz="4" w:space="0"/>
              <w:left w:val="single" w:color="auto" w:sz="4" w:space="0"/>
              <w:right w:val="single" w:color="auto" w:sz="4" w:space="0"/>
            </w:tcBorders>
            <w:vAlign w:val="center"/>
          </w:tcPr>
          <w:p>
            <w:pPr>
              <w:ind w:firstLine="0" w:firstLineChars="0"/>
              <w:jc w:val="center"/>
              <w:rPr>
                <w:rFonts w:hint="eastAsia" w:ascii="宋体" w:hAnsi="宋体" w:cs="宋体"/>
                <w:sz w:val="18"/>
                <w:szCs w:val="18"/>
                <w:lang w:val="en-US" w:eastAsia="zh-CN"/>
              </w:rPr>
            </w:pPr>
            <w:r>
              <w:rPr>
                <w:rFonts w:hint="eastAsia" w:ascii="宋体" w:hAnsi="宋体" w:cs="宋体"/>
                <w:sz w:val="18"/>
                <w:szCs w:val="18"/>
                <w:lang w:val="en-US" w:eastAsia="zh-CN"/>
              </w:rPr>
              <w:t>8.事故报告</w:t>
            </w:r>
          </w:p>
          <w:p>
            <w:pPr>
              <w:ind w:firstLine="0" w:firstLineChars="0"/>
              <w:jc w:val="center"/>
              <w:rPr>
                <w:rFonts w:hint="eastAsia" w:ascii="宋体" w:hAnsi="宋体" w:cs="宋体"/>
                <w:sz w:val="18"/>
                <w:szCs w:val="18"/>
                <w:lang w:val="en-US" w:eastAsia="zh-CN"/>
              </w:rPr>
            </w:pPr>
            <w:r>
              <w:rPr>
                <w:rFonts w:hint="eastAsia" w:ascii="宋体" w:hAnsi="宋体" w:cs="宋体"/>
                <w:sz w:val="18"/>
                <w:szCs w:val="18"/>
                <w:lang w:val="en-US" w:eastAsia="zh-CN"/>
              </w:rPr>
              <w:t>与调查处理</w:t>
            </w:r>
          </w:p>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（50分）</w:t>
            </w: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8.1事故报告</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4.4</w:t>
            </w:r>
            <w:r>
              <w:rPr>
                <w:rFonts w:hint="eastAsia" w:ascii="宋体" w:hAnsi="宋体" w:cs="宋体"/>
                <w:kern w:val="0"/>
                <w:sz w:val="18"/>
                <w:szCs w:val="18"/>
                <w:lang w:eastAsia="zh-CN"/>
              </w:rPr>
              <w:t>民爆物品装卸</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10</w:t>
            </w:r>
          </w:p>
        </w:tc>
        <w:tc>
          <w:tcPr>
            <w:tcW w:w="1587" w:type="dxa"/>
            <w:vMerge w:val="continue"/>
            <w:tcBorders>
              <w:left w:val="single" w:color="auto" w:sz="4" w:space="0"/>
              <w:right w:val="single" w:color="auto" w:sz="4" w:space="0"/>
            </w:tcBorders>
            <w:vAlign w:val="center"/>
          </w:tcPr>
          <w:p>
            <w:pPr>
              <w:ind w:firstLine="0" w:firstLineChars="0"/>
              <w:jc w:val="center"/>
              <w:rPr>
                <w:rFonts w:ascii="宋体" w:hAnsi="宋体" w:cs="宋体"/>
                <w:sz w:val="18"/>
                <w:szCs w:val="18"/>
              </w:rPr>
            </w:pP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8.2事故调查和处理</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4.5</w:t>
            </w:r>
            <w:r>
              <w:rPr>
                <w:rFonts w:hint="eastAsia" w:ascii="宋体" w:hAnsi="宋体" w:cs="宋体"/>
                <w:kern w:val="0"/>
                <w:sz w:val="18"/>
                <w:szCs w:val="18"/>
                <w:lang w:eastAsia="zh-CN"/>
              </w:rPr>
              <w:t>民爆物品运输</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10</w:t>
            </w:r>
          </w:p>
        </w:tc>
        <w:tc>
          <w:tcPr>
            <w:tcW w:w="1587" w:type="dxa"/>
            <w:vMerge w:val="continue"/>
            <w:tcBorders>
              <w:left w:val="single" w:color="auto" w:sz="4" w:space="0"/>
              <w:bottom w:val="single" w:color="auto" w:sz="4" w:space="0"/>
              <w:right w:val="single" w:color="auto" w:sz="4" w:space="0"/>
            </w:tcBorders>
            <w:vAlign w:val="center"/>
          </w:tcPr>
          <w:p>
            <w:pPr>
              <w:ind w:firstLine="0" w:firstLineChars="0"/>
              <w:jc w:val="center"/>
              <w:rPr>
                <w:rFonts w:ascii="宋体" w:hAnsi="宋体" w:cs="宋体"/>
                <w:sz w:val="18"/>
                <w:szCs w:val="18"/>
              </w:rPr>
            </w:pP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eastAsia" w:ascii="宋体" w:hAnsi="宋体" w:cs="宋体"/>
                <w:sz w:val="18"/>
                <w:szCs w:val="18"/>
                <w:lang w:val="en-US" w:eastAsia="zh-CN"/>
              </w:rPr>
            </w:pPr>
            <w:r>
              <w:rPr>
                <w:rFonts w:hint="eastAsia" w:ascii="宋体" w:hAnsi="宋体" w:cs="宋体"/>
                <w:sz w:val="18"/>
                <w:szCs w:val="18"/>
                <w:lang w:val="en-US" w:eastAsia="zh-CN"/>
              </w:rPr>
              <w:t>8.3事故档案和统计分析</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4.6</w:t>
            </w:r>
            <w:r>
              <w:rPr>
                <w:rFonts w:hint="eastAsia" w:ascii="宋体" w:hAnsi="宋体" w:cs="宋体"/>
                <w:kern w:val="0"/>
                <w:sz w:val="18"/>
                <w:szCs w:val="18"/>
                <w:lang w:eastAsia="zh-CN"/>
              </w:rPr>
              <w:t>民爆物品销毁</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val="en-US" w:eastAsia="zh-CN"/>
              </w:rPr>
              <w:t>10</w:t>
            </w:r>
          </w:p>
        </w:tc>
        <w:tc>
          <w:tcPr>
            <w:tcW w:w="1587" w:type="dxa"/>
            <w:vMerge w:val="restart"/>
            <w:tcBorders>
              <w:top w:val="single" w:color="auto" w:sz="4" w:space="0"/>
              <w:left w:val="single" w:color="auto" w:sz="4" w:space="0"/>
              <w:right w:val="single" w:color="auto" w:sz="4" w:space="0"/>
            </w:tcBorders>
            <w:vAlign w:val="center"/>
          </w:tcPr>
          <w:p>
            <w:pPr>
              <w:ind w:firstLine="0" w:firstLineChars="0"/>
              <w:jc w:val="center"/>
              <w:rPr>
                <w:rFonts w:hint="eastAsia" w:ascii="宋体" w:hAnsi="宋体" w:cs="宋体"/>
                <w:sz w:val="18"/>
                <w:szCs w:val="18"/>
                <w:lang w:val="en-US" w:eastAsia="zh-CN"/>
              </w:rPr>
            </w:pPr>
            <w:r>
              <w:rPr>
                <w:rFonts w:hint="eastAsia" w:ascii="宋体" w:hAnsi="宋体" w:cs="宋体"/>
                <w:sz w:val="18"/>
                <w:szCs w:val="18"/>
                <w:lang w:val="en-US" w:eastAsia="zh-CN"/>
              </w:rPr>
              <w:t>9.绩效评定</w:t>
            </w:r>
          </w:p>
          <w:p>
            <w:pPr>
              <w:ind w:firstLine="0" w:firstLineChars="0"/>
              <w:jc w:val="center"/>
              <w:rPr>
                <w:rFonts w:hint="eastAsia" w:ascii="宋体" w:hAnsi="宋体" w:cs="宋体"/>
                <w:sz w:val="18"/>
                <w:szCs w:val="18"/>
                <w:lang w:val="en-US" w:eastAsia="zh-CN"/>
              </w:rPr>
            </w:pPr>
            <w:r>
              <w:rPr>
                <w:rFonts w:hint="eastAsia" w:ascii="宋体" w:hAnsi="宋体" w:cs="宋体"/>
                <w:sz w:val="18"/>
                <w:szCs w:val="18"/>
                <w:lang w:val="en-US" w:eastAsia="zh-CN"/>
              </w:rPr>
              <w:t>与持续改进</w:t>
            </w:r>
          </w:p>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（30）</w:t>
            </w: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9.1绩效评定</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20</w:t>
            </w:r>
          </w:p>
        </w:tc>
      </w:tr>
      <w:tr>
        <w:tblPrEx>
          <w:tblLayout w:type="fixed"/>
          <w:tblCellMar>
            <w:top w:w="0" w:type="dxa"/>
            <w:left w:w="108" w:type="dxa"/>
            <w:bottom w:w="0" w:type="dxa"/>
            <w:right w:w="108" w:type="dxa"/>
          </w:tblCellMar>
        </w:tblPrEx>
        <w:trPr>
          <w:trHeight w:val="567" w:hRule="atLeast"/>
          <w:jc w:val="center"/>
        </w:trPr>
        <w:tc>
          <w:tcPr>
            <w:tcW w:w="1587" w:type="dxa"/>
            <w:vMerge w:val="continue"/>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sz w:val="18"/>
                <w:szCs w:val="18"/>
              </w:rPr>
            </w:pPr>
          </w:p>
        </w:tc>
        <w:tc>
          <w:tcPr>
            <w:tcW w:w="2324"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eastAsia="宋体" w:cs="宋体"/>
                <w:sz w:val="18"/>
                <w:szCs w:val="18"/>
                <w:lang w:eastAsia="zh-CN"/>
              </w:rPr>
            </w:pPr>
            <w:r>
              <w:rPr>
                <w:rFonts w:hint="eastAsia" w:ascii="宋体" w:hAnsi="宋体" w:cs="宋体"/>
                <w:kern w:val="0"/>
                <w:sz w:val="18"/>
                <w:szCs w:val="18"/>
              </w:rPr>
              <w:t>4.7</w:t>
            </w:r>
            <w:r>
              <w:rPr>
                <w:rFonts w:hint="eastAsia" w:ascii="宋体" w:hAnsi="宋体" w:cs="宋体"/>
                <w:kern w:val="0"/>
                <w:sz w:val="18"/>
                <w:szCs w:val="18"/>
                <w:lang w:eastAsia="zh-CN"/>
              </w:rPr>
              <w:t>民爆物品运输车辆</w:t>
            </w:r>
          </w:p>
        </w:tc>
        <w:tc>
          <w:tcPr>
            <w:tcW w:w="654" w:type="dxa"/>
            <w:tcBorders>
              <w:top w:val="single" w:color="000000" w:sz="4" w:space="0"/>
              <w:left w:val="single" w:color="000000" w:sz="4" w:space="0"/>
              <w:bottom w:val="single" w:color="000000" w:sz="4" w:space="0"/>
              <w:right w:val="single" w:color="auto" w:sz="4" w:space="0"/>
            </w:tcBorders>
            <w:vAlign w:val="center"/>
          </w:tcPr>
          <w:p>
            <w:pPr>
              <w:widowControl/>
              <w:ind w:firstLine="0" w:firstLineChars="0"/>
              <w:jc w:val="center"/>
              <w:textAlignment w:val="center"/>
              <w:rPr>
                <w:rFonts w:ascii="宋体" w:hAnsi="宋体" w:cs="宋体"/>
                <w:sz w:val="18"/>
                <w:szCs w:val="18"/>
              </w:rPr>
            </w:pPr>
            <w:r>
              <w:rPr>
                <w:rFonts w:hint="eastAsia" w:ascii="宋体" w:hAnsi="宋体" w:cs="宋体"/>
                <w:kern w:val="0"/>
                <w:sz w:val="18"/>
                <w:szCs w:val="18"/>
              </w:rPr>
              <w:t>10</w:t>
            </w:r>
          </w:p>
        </w:tc>
        <w:tc>
          <w:tcPr>
            <w:tcW w:w="1587" w:type="dxa"/>
            <w:vMerge w:val="continue"/>
            <w:tcBorders>
              <w:left w:val="single" w:color="auto" w:sz="4" w:space="0"/>
              <w:bottom w:val="single" w:color="auto" w:sz="4" w:space="0"/>
              <w:right w:val="single" w:color="auto" w:sz="4" w:space="0"/>
            </w:tcBorders>
            <w:vAlign w:val="center"/>
          </w:tcPr>
          <w:p>
            <w:pPr>
              <w:ind w:firstLine="0" w:firstLineChars="0"/>
              <w:rPr>
                <w:rFonts w:ascii="宋体" w:hAnsi="宋体" w:cs="宋体"/>
                <w:sz w:val="18"/>
                <w:szCs w:val="18"/>
              </w:rPr>
            </w:pPr>
          </w:p>
        </w:tc>
        <w:tc>
          <w:tcPr>
            <w:tcW w:w="2324"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textAlignment w:val="center"/>
              <w:rPr>
                <w:rFonts w:hint="default" w:ascii="宋体" w:hAnsi="宋体" w:cs="宋体"/>
                <w:sz w:val="18"/>
                <w:szCs w:val="18"/>
                <w:lang w:val="en-US" w:eastAsia="zh-CN"/>
              </w:rPr>
            </w:pPr>
            <w:r>
              <w:rPr>
                <w:rFonts w:hint="eastAsia" w:ascii="宋体" w:hAnsi="宋体" w:cs="宋体"/>
                <w:sz w:val="18"/>
                <w:szCs w:val="18"/>
                <w:lang w:val="en-US" w:eastAsia="zh-CN"/>
              </w:rPr>
              <w:t>9.2持续改进</w:t>
            </w:r>
          </w:p>
        </w:tc>
        <w:tc>
          <w:tcPr>
            <w:tcW w:w="65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r>
    </w:tbl>
    <w:p>
      <w:pPr>
        <w:ind w:firstLine="560"/>
        <w:rPr>
          <w:sz w:val="28"/>
          <w:szCs w:val="28"/>
        </w:rPr>
      </w:pPr>
    </w:p>
    <w:p>
      <w:pPr>
        <w:ind w:firstLine="0" w:firstLineChars="0"/>
        <w:rPr>
          <w:rFonts w:ascii="宋体" w:hAnsi="宋体" w:cs="宋体"/>
          <w:b/>
          <w:bCs/>
          <w:kern w:val="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080" w:right="1440" w:bottom="1080" w:left="1440" w:header="851" w:footer="992" w:gutter="0"/>
          <w:cols w:space="720" w:num="1"/>
          <w:docGrid w:type="lines" w:linePitch="312" w:charSpace="0"/>
        </w:sectPr>
      </w:pPr>
    </w:p>
    <w:p>
      <w:pPr>
        <w:jc w:val="center"/>
        <w:rPr>
          <w:rFonts w:hint="eastAsia" w:eastAsia="宋体"/>
          <w:lang w:eastAsia="zh-CN"/>
        </w:rPr>
      </w:pPr>
      <w:r>
        <w:rPr>
          <w:rFonts w:hint="eastAsia" w:ascii="宋体" w:hAnsi="宋体" w:cs="宋体"/>
          <w:b/>
          <w:bCs/>
          <w:kern w:val="0"/>
          <w:sz w:val="32"/>
          <w:szCs w:val="32"/>
        </w:rPr>
        <w:t>龙岩市</w:t>
      </w:r>
      <w:r>
        <w:rPr>
          <w:rFonts w:hint="eastAsia" w:ascii="宋体" w:hAnsi="宋体" w:cs="宋体"/>
          <w:b/>
          <w:bCs/>
          <w:kern w:val="0"/>
          <w:sz w:val="32"/>
          <w:szCs w:val="32"/>
          <w:lang w:eastAsia="zh-CN"/>
        </w:rPr>
        <w:t>营业性</w:t>
      </w:r>
      <w:r>
        <w:rPr>
          <w:rFonts w:hint="eastAsia" w:ascii="宋体" w:hAnsi="宋体" w:cs="宋体"/>
          <w:b/>
          <w:bCs/>
          <w:kern w:val="0"/>
          <w:sz w:val="32"/>
          <w:szCs w:val="32"/>
        </w:rPr>
        <w:t>爆破作业单位安全生产标准化考评标准</w:t>
      </w:r>
      <w:r>
        <w:rPr>
          <w:rFonts w:hint="eastAsia" w:ascii="宋体" w:hAnsi="宋体" w:cs="宋体"/>
          <w:b/>
          <w:bCs/>
          <w:kern w:val="0"/>
          <w:sz w:val="32"/>
          <w:szCs w:val="32"/>
          <w:lang w:eastAsia="zh-CN"/>
        </w:rPr>
        <w:t>（试行）</w:t>
      </w:r>
    </w:p>
    <w:tbl>
      <w:tblPr>
        <w:tblStyle w:val="6"/>
        <w:tblW w:w="14683" w:type="dxa"/>
        <w:tblInd w:w="93" w:type="dxa"/>
        <w:tblLayout w:type="fixed"/>
        <w:tblCellMar>
          <w:top w:w="0" w:type="dxa"/>
          <w:left w:w="108" w:type="dxa"/>
          <w:bottom w:w="0" w:type="dxa"/>
          <w:right w:w="108" w:type="dxa"/>
        </w:tblCellMar>
      </w:tblPr>
      <w:tblGrid>
        <w:gridCol w:w="1193"/>
        <w:gridCol w:w="139"/>
        <w:gridCol w:w="5580"/>
        <w:gridCol w:w="15"/>
        <w:gridCol w:w="15"/>
        <w:gridCol w:w="4590"/>
        <w:gridCol w:w="989"/>
        <w:gridCol w:w="1022"/>
        <w:gridCol w:w="16"/>
        <w:gridCol w:w="1094"/>
        <w:gridCol w:w="30"/>
      </w:tblGrid>
      <w:tr>
        <w:tblPrEx>
          <w:tblLayout w:type="fixed"/>
          <w:tblCellMar>
            <w:top w:w="0" w:type="dxa"/>
            <w:left w:w="108" w:type="dxa"/>
            <w:bottom w:w="0" w:type="dxa"/>
            <w:right w:w="108" w:type="dxa"/>
          </w:tblCellMar>
        </w:tblPrEx>
        <w:trPr>
          <w:trHeight w:val="580" w:hRule="atLeast"/>
        </w:trPr>
        <w:tc>
          <w:tcPr>
            <w:tcW w:w="14683" w:type="dxa"/>
            <w:gridSpan w:val="11"/>
            <w:tcBorders>
              <w:top w:val="single" w:color="000000" w:sz="4" w:space="0"/>
              <w:left w:val="single" w:color="000000" w:sz="4" w:space="0"/>
              <w:bottom w:val="single" w:color="000000" w:sz="4" w:space="0"/>
              <w:right w:val="single" w:color="000000" w:sz="4" w:space="0"/>
            </w:tcBorders>
            <w:vAlign w:val="center"/>
          </w:tcPr>
          <w:p>
            <w:pPr>
              <w:ind w:firstLine="0" w:firstLineChars="0"/>
              <w:rPr>
                <w:sz w:val="24"/>
              </w:rPr>
            </w:pPr>
            <w:r>
              <w:rPr>
                <w:rFonts w:hint="eastAsia" w:ascii="宋体" w:hAnsi="宋体" w:cs="宋体"/>
                <w:b/>
                <w:kern w:val="0"/>
                <w:sz w:val="24"/>
              </w:rPr>
              <w:t>1 目标职责（</w:t>
            </w:r>
            <w:r>
              <w:rPr>
                <w:rFonts w:hint="eastAsia" w:ascii="宋体" w:hAnsi="宋体" w:cs="宋体"/>
                <w:b/>
                <w:kern w:val="0"/>
                <w:sz w:val="24"/>
                <w:lang w:val="en-US" w:eastAsia="zh-CN"/>
              </w:rPr>
              <w:t>175</w:t>
            </w:r>
            <w:r>
              <w:rPr>
                <w:rFonts w:hint="eastAsia" w:ascii="宋体" w:hAnsi="宋体" w:cs="宋体"/>
                <w:b/>
                <w:kern w:val="0"/>
                <w:sz w:val="24"/>
              </w:rPr>
              <w:t>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trHeight w:val="479" w:hRule="atLeast"/>
        </w:trPr>
        <w:tc>
          <w:tcPr>
            <w:tcW w:w="1332" w:type="dxa"/>
            <w:gridSpan w:val="2"/>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sz w:val="24"/>
              </w:rPr>
            </w:pPr>
            <w:r>
              <w:rPr>
                <w:rFonts w:hint="eastAsia"/>
                <w:sz w:val="24"/>
              </w:rPr>
              <w:t>考评项目</w:t>
            </w: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rPr>
            </w:pPr>
            <w:r>
              <w:rPr>
                <w:rFonts w:hint="eastAsia"/>
                <w:sz w:val="24"/>
              </w:rPr>
              <w:t>应得分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rPr>
            </w:pPr>
            <w:r>
              <w:rPr>
                <w:rFonts w:hint="eastAsia"/>
                <w:sz w:val="24"/>
              </w:rPr>
              <w:t>实得分</w:t>
            </w: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rPr>
            </w:pPr>
            <w:r>
              <w:rPr>
                <w:rFonts w:hint="eastAsia"/>
                <w:sz w:val="24"/>
              </w:rPr>
              <w:t>备注</w:t>
            </w:r>
          </w:p>
        </w:tc>
      </w:tr>
      <w:tr>
        <w:tblPrEx>
          <w:tblLayout w:type="fixed"/>
          <w:tblCellMar>
            <w:top w:w="0" w:type="dxa"/>
            <w:left w:w="108" w:type="dxa"/>
            <w:bottom w:w="0" w:type="dxa"/>
            <w:right w:w="108" w:type="dxa"/>
          </w:tblCellMar>
        </w:tblPrEx>
        <w:trPr>
          <w:trHeight w:val="90" w:hRule="atLeast"/>
        </w:trPr>
        <w:tc>
          <w:tcPr>
            <w:tcW w:w="133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textAlignment w:val="center"/>
              <w:rPr>
                <w:rFonts w:ascii="宋体" w:hAnsi="宋体" w:cs="宋体"/>
                <w:szCs w:val="21"/>
              </w:rPr>
            </w:pPr>
            <w:r>
              <w:rPr>
                <w:rFonts w:hint="eastAsia" w:ascii="宋体" w:hAnsi="宋体" w:cs="宋体"/>
                <w:kern w:val="0"/>
                <w:szCs w:val="21"/>
              </w:rPr>
              <w:t>1.1目标</w:t>
            </w: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1</w:t>
            </w:r>
            <w:r>
              <w:rPr>
                <w:rFonts w:hint="eastAsia"/>
                <w:lang w:val="en-US" w:eastAsia="zh-CN"/>
              </w:rPr>
              <w:t>.</w:t>
            </w:r>
            <w:r>
              <w:rPr>
                <w:rFonts w:hint="eastAsia"/>
              </w:rPr>
              <w:t>企业应根据“安全第一、预防为主、综合治理”的方针，遵循以人为本、风险控制、持续改进的原则，结合企业实际情况，制定本企业的安全生产方针和工作目标。</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a）未制定的安全生产目标不得分。</w:t>
            </w:r>
          </w:p>
          <w:p>
            <w:pPr>
              <w:ind w:firstLine="0" w:firstLineChars="0"/>
            </w:pPr>
            <w:r>
              <w:rPr>
                <w:rFonts w:hint="eastAsia"/>
              </w:rPr>
              <w:t>b）企业安全生产目标未以正式文件发布的扣10分。</w:t>
            </w:r>
          </w:p>
          <w:p>
            <w:pPr>
              <w:ind w:firstLine="0" w:firstLineChars="0"/>
            </w:pPr>
            <w:r>
              <w:rPr>
                <w:rFonts w:hint="eastAsia"/>
              </w:rPr>
              <w:t>c）随机抽查</w:t>
            </w:r>
            <w:r>
              <w:rPr>
                <w:rFonts w:hint="eastAsia"/>
                <w:lang w:val="en-US" w:eastAsia="zh-CN"/>
              </w:rPr>
              <w:t>5名职工，</w:t>
            </w:r>
            <w:r>
              <w:rPr>
                <w:rFonts w:hint="eastAsia"/>
                <w:lang w:eastAsia="zh-CN"/>
              </w:rPr>
              <w:t>职工</w:t>
            </w:r>
            <w:r>
              <w:rPr>
                <w:rFonts w:hint="eastAsia"/>
              </w:rPr>
              <w:t>不了解企业安全生产目标的，每人扣2分。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p>
        </w:tc>
      </w:tr>
      <w:tr>
        <w:tblPrEx>
          <w:tblLayout w:type="fixed"/>
          <w:tblCellMar>
            <w:top w:w="0" w:type="dxa"/>
            <w:left w:w="108" w:type="dxa"/>
            <w:bottom w:w="0" w:type="dxa"/>
            <w:right w:w="108" w:type="dxa"/>
          </w:tblCellMar>
        </w:tblPrEx>
        <w:trPr>
          <w:trHeight w:val="419" w:hRule="atLeast"/>
        </w:trPr>
        <w:tc>
          <w:tcPr>
            <w:tcW w:w="1332" w:type="dxa"/>
            <w:gridSpan w:val="2"/>
            <w:vMerge w:val="continue"/>
            <w:tcBorders>
              <w:top w:val="single" w:color="000000" w:sz="4" w:space="0"/>
              <w:left w:val="single" w:color="000000" w:sz="4" w:space="0"/>
              <w:bottom w:val="single" w:color="000000" w:sz="4" w:space="0"/>
              <w:right w:val="single" w:color="000000" w:sz="4" w:space="0"/>
            </w:tcBorders>
            <w:textDirection w:val="tbRlV"/>
            <w:vAlign w:val="center"/>
          </w:tcPr>
          <w:p>
            <w:pPr>
              <w:widowControl/>
              <w:ind w:firstLine="0" w:firstLineChars="0"/>
              <w:jc w:val="center"/>
              <w:rPr>
                <w:rFonts w:ascii="宋体" w:hAnsi="宋体" w:cs="宋体"/>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left"/>
              <w:rPr>
                <w:rFonts w:hint="eastAsia" w:eastAsia="宋体"/>
                <w:lang w:eastAsia="zh-CN"/>
              </w:rPr>
            </w:pPr>
            <w:r>
              <w:rPr>
                <w:rFonts w:hint="eastAsia"/>
              </w:rPr>
              <w:t>2</w:t>
            </w:r>
            <w:r>
              <w:rPr>
                <w:rFonts w:hint="eastAsia"/>
                <w:lang w:val="en-US" w:eastAsia="zh-CN"/>
              </w:rPr>
              <w:t>.</w:t>
            </w:r>
            <w:r>
              <w:rPr>
                <w:rFonts w:hint="eastAsia"/>
              </w:rPr>
              <w:t>企业应根据安全生产目标制定可考核的安全生产工作指标</w:t>
            </w:r>
          </w:p>
          <w:p>
            <w:pPr>
              <w:ind w:firstLine="0" w:firstLineChars="0"/>
              <w:jc w:val="left"/>
            </w:pPr>
            <w:r>
              <w:rPr>
                <w:rFonts w:hint="eastAsia"/>
              </w:rPr>
              <w:t>a）企业应制定年度安全工作计划，编制年度总结报告。</w:t>
            </w:r>
          </w:p>
          <w:p>
            <w:pPr>
              <w:ind w:firstLine="0" w:firstLineChars="0"/>
              <w:jc w:val="left"/>
            </w:pPr>
            <w:r>
              <w:rPr>
                <w:rFonts w:hint="eastAsia"/>
              </w:rPr>
              <w:t>b）企业应根据安全生产目标制定可考核的安全生产工作指标，安全生产工作指标应不低于上级</w:t>
            </w:r>
            <w:r>
              <w:rPr>
                <w:rFonts w:hint="eastAsia"/>
                <w:lang w:eastAsia="zh-CN"/>
              </w:rPr>
              <w:t>单位或业务主管部门</w:t>
            </w:r>
            <w:r>
              <w:rPr>
                <w:rFonts w:hint="eastAsia"/>
              </w:rPr>
              <w:t>下达的安全生产目标。</w:t>
            </w:r>
          </w:p>
          <w:p>
            <w:pPr>
              <w:ind w:firstLine="0" w:firstLineChars="0"/>
            </w:pPr>
            <w:r>
              <w:rPr>
                <w:rFonts w:hint="eastAsia"/>
              </w:rPr>
              <w:t>c）制定的安全生产目标和指标</w:t>
            </w:r>
            <w:r>
              <w:rPr>
                <w:rFonts w:hint="eastAsia"/>
                <w:lang w:eastAsia="zh-CN"/>
              </w:rPr>
              <w:t>应</w:t>
            </w:r>
            <w:r>
              <w:rPr>
                <w:rFonts w:hint="eastAsia"/>
              </w:rPr>
              <w:t>可行</w:t>
            </w:r>
            <w:r>
              <w:rPr>
                <w:rFonts w:hint="eastAsia"/>
                <w:lang w:eastAsia="zh-CN"/>
              </w:rPr>
              <w:t>和</w:t>
            </w:r>
            <w:r>
              <w:rPr>
                <w:rFonts w:hint="eastAsia"/>
              </w:rPr>
              <w:t>符合企业实际。</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left"/>
            </w:pPr>
            <w:r>
              <w:rPr>
                <w:rFonts w:hint="eastAsia"/>
              </w:rPr>
              <w:t>a）未制定年度安全工作计划的扣10分，未编制年度总结报告的扣5分。</w:t>
            </w:r>
          </w:p>
          <w:p>
            <w:pPr>
              <w:ind w:firstLine="0" w:firstLineChars="0"/>
              <w:jc w:val="left"/>
            </w:pPr>
            <w:r>
              <w:rPr>
                <w:rFonts w:hint="eastAsia"/>
              </w:rPr>
              <w:t>b）安全生产工作指标低于上级</w:t>
            </w:r>
            <w:r>
              <w:rPr>
                <w:rFonts w:hint="eastAsia"/>
                <w:lang w:eastAsia="zh-CN"/>
              </w:rPr>
              <w:t>单位或业务主管部门</w:t>
            </w:r>
            <w:r>
              <w:rPr>
                <w:rFonts w:hint="eastAsia"/>
              </w:rPr>
              <w:t>下达的安全生产目标的此项不得分。</w:t>
            </w:r>
          </w:p>
          <w:p>
            <w:pPr>
              <w:ind w:firstLine="0" w:firstLineChars="0"/>
              <w:jc w:val="left"/>
            </w:pPr>
            <w:r>
              <w:rPr>
                <w:rFonts w:hint="eastAsia"/>
              </w:rPr>
              <w:t>c）制定的安全生产目标和指标不可行或不符合企业实际的，每项5分。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332" w:type="dxa"/>
            <w:gridSpan w:val="2"/>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1.2机构和职责</w:t>
            </w:r>
          </w:p>
        </w:tc>
        <w:tc>
          <w:tcPr>
            <w:tcW w:w="5580" w:type="dxa"/>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1.</w:t>
            </w:r>
            <w:r>
              <w:rPr>
                <w:rFonts w:hint="eastAsia"/>
              </w:rPr>
              <w:t>企业应</w:t>
            </w:r>
            <w:r>
              <w:rPr>
                <w:rFonts w:hint="eastAsia"/>
                <w:lang w:eastAsia="zh-CN"/>
              </w:rPr>
              <w:t>设置</w:t>
            </w:r>
            <w:r>
              <w:rPr>
                <w:rFonts w:hint="eastAsia"/>
              </w:rPr>
              <w:t>安全生产组织领导机构，成立安全生产委员会，并以正式文件发布，企业主要负责人担任安全生产委员会主任，每季度至少召开一次安全生产委员会会议，每个月至少召开一次安全生产工作会议。安全生产委员会全体成员均要参加会议，所有会议均要有会议纪要、照片等。</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a）企业安全生产委员会未以正式文件发布的此项不得分。</w:t>
            </w:r>
          </w:p>
          <w:p>
            <w:pPr>
              <w:ind w:firstLine="0" w:firstLineChars="0"/>
            </w:pPr>
            <w:r>
              <w:rPr>
                <w:rFonts w:hint="eastAsia"/>
              </w:rPr>
              <w:t>b）企业主要负责人未担任安全生产委员会主任的扣10分。</w:t>
            </w:r>
          </w:p>
          <w:p>
            <w:pPr>
              <w:ind w:firstLine="0" w:firstLineChars="0"/>
            </w:pPr>
            <w:r>
              <w:rPr>
                <w:rFonts w:hint="eastAsia"/>
              </w:rPr>
              <w:t>c）未定期召开会议的每次扣5分。</w:t>
            </w:r>
          </w:p>
          <w:p>
            <w:pPr>
              <w:ind w:firstLine="0" w:firstLineChars="0"/>
            </w:pPr>
            <w:r>
              <w:rPr>
                <w:rFonts w:hint="eastAsia"/>
              </w:rPr>
              <w:t>d）应参会</w:t>
            </w:r>
            <w:r>
              <w:rPr>
                <w:rFonts w:hint="eastAsia"/>
                <w:lang w:eastAsia="zh-CN"/>
              </w:rPr>
              <w:t>安全生产委员会成员</w:t>
            </w:r>
            <w:r>
              <w:rPr>
                <w:rFonts w:hint="eastAsia"/>
              </w:rPr>
              <w:t>每缺席1人扣1分。</w:t>
            </w:r>
          </w:p>
          <w:p>
            <w:pPr>
              <w:ind w:firstLine="0" w:firstLineChars="0"/>
            </w:pPr>
            <w:r>
              <w:rPr>
                <w:rFonts w:hint="eastAsia"/>
              </w:rPr>
              <w:t>e）无会议纪要(记录)或纪要(记录)不全、无</w:t>
            </w:r>
            <w:r>
              <w:rPr>
                <w:rFonts w:hint="eastAsia"/>
                <w:lang w:val="en-US" w:eastAsia="zh-CN"/>
              </w:rPr>
              <w:t>影像资料</w:t>
            </w:r>
            <w:r>
              <w:rPr>
                <w:rFonts w:hint="eastAsia"/>
              </w:rPr>
              <w:t>的，每次扣1分。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332" w:type="dxa"/>
            <w:gridSpan w:val="2"/>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rPr>
                <w:szCs w:val="21"/>
              </w:rPr>
            </w:pPr>
            <w:r>
              <w:rPr>
                <w:rFonts w:hint="eastAsia"/>
              </w:rPr>
              <w:t>2</w:t>
            </w:r>
            <w:r>
              <w:rPr>
                <w:rFonts w:hint="eastAsia"/>
                <w:lang w:val="en-US" w:eastAsia="zh-CN"/>
              </w:rPr>
              <w:t>.</w:t>
            </w:r>
            <w:r>
              <w:rPr>
                <w:rFonts w:hint="eastAsia"/>
              </w:rPr>
              <w:t>按照安全生产法律、法规及其他要求，设置安全生产管理机构</w:t>
            </w:r>
            <w:r>
              <w:rPr>
                <w:rFonts w:hint="eastAsia"/>
                <w:lang w:eastAsia="zh-CN"/>
              </w:rPr>
              <w:t>、</w:t>
            </w:r>
            <w:r>
              <w:rPr>
                <w:rFonts w:hint="eastAsia"/>
              </w:rPr>
              <w:t>配备专职安全生产管理人员。</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未按要求设置安全生产管理机构或配备专职安全生产管理人员的此项不得分。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728" w:hRule="atLeast"/>
        </w:trPr>
        <w:tc>
          <w:tcPr>
            <w:tcW w:w="1332" w:type="dxa"/>
            <w:gridSpan w:val="2"/>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pStyle w:val="2"/>
              <w:rPr>
                <w:rFonts w:ascii="宋体" w:hAnsi="宋体" w:cs="Arial"/>
                <w:szCs w:val="21"/>
              </w:rPr>
            </w:pPr>
            <w:r>
              <w:rPr>
                <w:rFonts w:hint="eastAsia" w:ascii="宋体" w:hAnsi="宋体" w:cs="Arial"/>
                <w:szCs w:val="21"/>
              </w:rPr>
              <w:t>3</w:t>
            </w:r>
            <w:r>
              <w:rPr>
                <w:rFonts w:hint="eastAsia" w:ascii="宋体" w:hAnsi="宋体" w:cs="Arial"/>
                <w:szCs w:val="21"/>
                <w:lang w:val="en-US" w:eastAsia="zh-CN"/>
              </w:rPr>
              <w:t>.</w:t>
            </w:r>
            <w:r>
              <w:rPr>
                <w:rFonts w:hint="eastAsia" w:ascii="宋体" w:hAnsi="宋体" w:cs="Arial"/>
                <w:szCs w:val="21"/>
              </w:rPr>
              <w:t>依据《民用爆炸物品安全管理条例》规定</w:t>
            </w:r>
            <w:r>
              <w:rPr>
                <w:rFonts w:ascii="宋体" w:hAnsi="宋体" w:cs="Arial"/>
                <w:szCs w:val="21"/>
              </w:rPr>
              <w:t>设置治安保卫机构</w:t>
            </w:r>
            <w:r>
              <w:rPr>
                <w:rFonts w:hint="eastAsia" w:ascii="宋体" w:hAnsi="宋体" w:cs="Arial"/>
                <w:szCs w:val="21"/>
                <w:lang w:eastAsia="zh-CN"/>
              </w:rPr>
              <w:t>、</w:t>
            </w:r>
            <w:r>
              <w:rPr>
                <w:rFonts w:ascii="宋体" w:hAnsi="宋体" w:cs="Arial"/>
                <w:szCs w:val="21"/>
              </w:rPr>
              <w:t>配备</w:t>
            </w:r>
            <w:r>
              <w:rPr>
                <w:rFonts w:hint="eastAsia"/>
                <w:lang w:val="en-US" w:eastAsia="zh-CN"/>
              </w:rPr>
              <w:t>治安保卫管理人员</w:t>
            </w:r>
            <w:r>
              <w:rPr>
                <w:rFonts w:hint="eastAsia" w:ascii="宋体" w:hAnsi="宋体" w:cs="Arial"/>
                <w:szCs w:val="21"/>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未按要求设置</w:t>
            </w:r>
            <w:r>
              <w:rPr>
                <w:rFonts w:ascii="宋体" w:hAnsi="宋体" w:cs="Arial"/>
                <w:szCs w:val="21"/>
              </w:rPr>
              <w:t>治安保卫机构或者配备治安保卫人员</w:t>
            </w:r>
            <w:r>
              <w:rPr>
                <w:rFonts w:hint="eastAsia"/>
              </w:rPr>
              <w:t>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Arial"/>
                <w:szCs w:val="21"/>
              </w:rPr>
            </w:pPr>
            <w:r>
              <w:rPr>
                <w:rFonts w:hint="eastAsia" w:ascii="Arial" w:hAnsi="Arial" w:cs="Arial"/>
                <w:kern w:val="0"/>
                <w:szCs w:val="21"/>
              </w:rPr>
              <w:t>1</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rPr>
                <w:rFonts w:ascii="宋体" w:hAnsi="宋体" w:cs="Arial"/>
                <w:szCs w:val="21"/>
              </w:rPr>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rPr>
                <w:rFonts w:ascii="宋体" w:hAnsi="宋体" w:cs="Arial"/>
                <w:szCs w:val="21"/>
              </w:rPr>
            </w:pPr>
          </w:p>
        </w:tc>
      </w:tr>
      <w:tr>
        <w:tblPrEx>
          <w:tblLayout w:type="fixed"/>
          <w:tblCellMar>
            <w:top w:w="0" w:type="dxa"/>
            <w:left w:w="108" w:type="dxa"/>
            <w:bottom w:w="0" w:type="dxa"/>
            <w:right w:w="108" w:type="dxa"/>
          </w:tblCellMar>
        </w:tblPrEx>
        <w:trPr>
          <w:trHeight w:val="672" w:hRule="atLeast"/>
        </w:trPr>
        <w:tc>
          <w:tcPr>
            <w:tcW w:w="1332" w:type="dxa"/>
            <w:gridSpan w:val="2"/>
            <w:vMerge w:val="continue"/>
            <w:tcBorders>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eastAsia" w:ascii="宋体" w:hAnsi="宋体" w:cs="宋体"/>
                <w:kern w:val="0"/>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default" w:eastAsia="宋体"/>
                <w:lang w:val="en-US" w:eastAsia="zh-CN"/>
              </w:rPr>
            </w:pPr>
            <w:r>
              <w:rPr>
                <w:rFonts w:hint="eastAsia"/>
                <w:lang w:val="en-US" w:eastAsia="zh-CN"/>
              </w:rPr>
              <w:t>4.配备符合GA990要求的技术负责人、爆破作业人员。</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lang w:eastAsia="zh-CN"/>
              </w:rPr>
              <w:t>配备的</w:t>
            </w:r>
            <w:r>
              <w:rPr>
                <w:rFonts w:hint="eastAsia"/>
                <w:lang w:val="en-US" w:eastAsia="zh-CN"/>
              </w:rPr>
              <w:t>技术负责人、爆破作业人员数量和职称要求不符合GA990规定的，此项不得分。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hint="default" w:ascii="Arial" w:hAnsi="Arial" w:eastAsia="宋体" w:cs="Arial"/>
                <w:kern w:val="0"/>
                <w:szCs w:val="21"/>
                <w:lang w:val="en-US" w:eastAsia="zh-CN"/>
              </w:rPr>
            </w:pPr>
            <w:r>
              <w:rPr>
                <w:rFonts w:hint="eastAsia" w:ascii="Arial" w:hAnsi="Arial" w:cs="Arial"/>
                <w:kern w:val="0"/>
                <w:szCs w:val="21"/>
                <w:lang w:val="en-US" w:eastAsia="zh-CN"/>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332" w:type="dxa"/>
            <w:gridSpan w:val="2"/>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1.3全员参与</w:t>
            </w: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依法制定全员安全生产责任制，明确各管理部门、各岗位的安全责任，逐级签订安全生产责任书，全员覆盖，并以正式文件下发。</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numPr>
                <w:ilvl w:val="0"/>
                <w:numId w:val="1"/>
              </w:numPr>
              <w:ind w:firstLine="0" w:firstLineChars="0"/>
            </w:pPr>
            <w:r>
              <w:rPr>
                <w:rFonts w:hint="eastAsia"/>
              </w:rPr>
              <w:t>未按企业机构设置制定安全生产责任制的，此项不得分。</w:t>
            </w:r>
          </w:p>
          <w:p>
            <w:pPr>
              <w:ind w:firstLine="0" w:firstLineChars="0"/>
            </w:pPr>
            <w:r>
              <w:rPr>
                <w:rFonts w:hint="eastAsia"/>
              </w:rPr>
              <w:t>b）安全生产责任书应逐级签订，签订每缺一级扣5分，每缺一人扣2 分。</w:t>
            </w:r>
          </w:p>
          <w:p>
            <w:pPr>
              <w:ind w:firstLine="0" w:firstLineChars="0"/>
            </w:pPr>
            <w:r>
              <w:rPr>
                <w:rFonts w:hint="eastAsia"/>
              </w:rPr>
              <w:t>c）安全责任不明</w:t>
            </w:r>
            <w:r>
              <w:rPr>
                <w:rFonts w:hint="eastAsia"/>
                <w:lang w:eastAsia="zh-CN"/>
              </w:rPr>
              <w:t>确</w:t>
            </w:r>
            <w:r>
              <w:rPr>
                <w:rFonts w:hint="eastAsia"/>
              </w:rPr>
              <w:t>或</w:t>
            </w:r>
            <w:r>
              <w:rPr>
                <w:rFonts w:hint="eastAsia"/>
                <w:lang w:eastAsia="zh-CN"/>
              </w:rPr>
              <w:t>制定的安全责任</w:t>
            </w:r>
            <w:r>
              <w:rPr>
                <w:rFonts w:hint="eastAsia"/>
              </w:rPr>
              <w:t>与</w:t>
            </w:r>
            <w:r>
              <w:rPr>
                <w:rFonts w:hint="eastAsia"/>
                <w:lang w:eastAsia="zh-CN"/>
              </w:rPr>
              <w:t>个人实际从事</w:t>
            </w:r>
            <w:r>
              <w:rPr>
                <w:rFonts w:hint="eastAsia"/>
              </w:rPr>
              <w:t>工作不一致，每</w:t>
            </w:r>
            <w:r>
              <w:rPr>
                <w:rFonts w:hint="eastAsia"/>
                <w:lang w:eastAsia="zh-CN"/>
              </w:rPr>
              <w:t>发现</w:t>
            </w:r>
            <w:r>
              <w:rPr>
                <w:rFonts w:hint="eastAsia"/>
              </w:rPr>
              <w:t>一人扣2分。</w:t>
            </w:r>
          </w:p>
          <w:p>
            <w:pPr>
              <w:ind w:firstLine="0" w:firstLineChars="0"/>
            </w:pPr>
            <w:r>
              <w:rPr>
                <w:rFonts w:hint="eastAsia"/>
              </w:rPr>
              <w:t>d）未以正式文件下发的扣5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2</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65" w:hRule="atLeast"/>
        </w:trPr>
        <w:tc>
          <w:tcPr>
            <w:tcW w:w="133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1.4安全生产投入</w:t>
            </w: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rPr>
              <w:t>1</w:t>
            </w:r>
            <w:r>
              <w:rPr>
                <w:rFonts w:hint="eastAsia"/>
                <w:lang w:val="en-US" w:eastAsia="zh-CN"/>
              </w:rPr>
              <w:t>.</w:t>
            </w:r>
            <w:r>
              <w:rPr>
                <w:rFonts w:hint="eastAsia"/>
              </w:rPr>
              <w:t>依据《企业安全生产费用提取和使用管理办法》建立生产安全投入管理制度</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eastAsia="zh-CN"/>
              </w:rPr>
              <w:t>未建立</w:t>
            </w:r>
            <w:r>
              <w:rPr>
                <w:rFonts w:hint="eastAsia"/>
              </w:rPr>
              <w:t>安全生产投入管理制度</w:t>
            </w:r>
            <w:r>
              <w:rPr>
                <w:rFonts w:hint="eastAsia"/>
                <w:lang w:eastAsia="zh-CN"/>
              </w:rPr>
              <w:t>的</w:t>
            </w:r>
            <w:r>
              <w:rPr>
                <w:rFonts w:hint="eastAsia"/>
              </w:rPr>
              <w:t>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65" w:hRule="atLeast"/>
        </w:trPr>
        <w:tc>
          <w:tcPr>
            <w:tcW w:w="133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2</w:t>
            </w:r>
            <w:r>
              <w:rPr>
                <w:rFonts w:hint="eastAsia"/>
                <w:lang w:val="en-US" w:eastAsia="zh-CN"/>
              </w:rPr>
              <w:t>.</w:t>
            </w:r>
            <w:r>
              <w:rPr>
                <w:rFonts w:hint="eastAsia"/>
              </w:rPr>
              <w:t>安全费用提取</w:t>
            </w:r>
          </w:p>
          <w:p>
            <w:pPr>
              <w:ind w:firstLine="0" w:firstLineChars="0"/>
            </w:pPr>
            <w:r>
              <w:rPr>
                <w:rFonts w:hint="eastAsia"/>
              </w:rPr>
              <w:t>a）企业安全费用应按有关规定足额提取安全生产费用。</w:t>
            </w:r>
          </w:p>
          <w:p>
            <w:pPr>
              <w:ind w:firstLine="0" w:firstLineChars="0"/>
            </w:pPr>
            <w:r>
              <w:rPr>
                <w:rFonts w:hint="eastAsia"/>
              </w:rPr>
              <w:t>b）并建立安全生产费用使用台账，记录应能如实反映安全生产费用使用状况。</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a）抽查上年度的安全费用提取台帐，未按规定提取</w:t>
            </w:r>
            <w:r>
              <w:rPr>
                <w:rFonts w:hint="eastAsia"/>
                <w:lang w:eastAsia="zh-CN"/>
              </w:rPr>
              <w:t>的</w:t>
            </w:r>
            <w:r>
              <w:rPr>
                <w:rFonts w:hint="eastAsia"/>
              </w:rPr>
              <w:t>不得分。</w:t>
            </w:r>
          </w:p>
          <w:p>
            <w:pPr>
              <w:ind w:firstLine="0" w:firstLineChars="0"/>
            </w:pPr>
            <w:r>
              <w:rPr>
                <w:rFonts w:hint="eastAsia"/>
              </w:rPr>
              <w:t>b）未建立台账的不得分，台账不完整的扣5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20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136" w:hRule="atLeast"/>
        </w:trPr>
        <w:tc>
          <w:tcPr>
            <w:tcW w:w="133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3</w:t>
            </w:r>
            <w:r>
              <w:rPr>
                <w:rFonts w:hint="eastAsia"/>
                <w:lang w:val="en-US" w:eastAsia="zh-CN"/>
              </w:rPr>
              <w:t>.</w:t>
            </w:r>
            <w:r>
              <w:rPr>
                <w:rFonts w:hint="eastAsia"/>
              </w:rPr>
              <w:t>安全费用</w:t>
            </w:r>
            <w:r>
              <w:rPr>
                <w:rFonts w:hint="eastAsia"/>
                <w:lang w:eastAsia="zh-CN"/>
              </w:rPr>
              <w:t>使</w:t>
            </w:r>
            <w:r>
              <w:rPr>
                <w:rFonts w:hint="eastAsia"/>
              </w:rPr>
              <w:t>用</w:t>
            </w:r>
          </w:p>
          <w:p>
            <w:pPr>
              <w:ind w:firstLine="0" w:firstLineChars="0"/>
            </w:pPr>
            <w:r>
              <w:rPr>
                <w:rFonts w:hint="eastAsia"/>
              </w:rPr>
              <w:t>a）制定年度安全费用使用计划。</w:t>
            </w:r>
          </w:p>
          <w:p>
            <w:pPr>
              <w:ind w:firstLine="0" w:firstLineChars="0"/>
            </w:pPr>
            <w:r>
              <w:rPr>
                <w:rFonts w:hint="eastAsia"/>
              </w:rPr>
              <w:t>b）安全费用的使用应符合《企业安全生产费用提取和使用管理办法》规定，专款专用。</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抽查安全费用使用情况：</w:t>
            </w:r>
          </w:p>
          <w:p>
            <w:pPr>
              <w:ind w:firstLine="0" w:firstLineChars="0"/>
            </w:pPr>
            <w:r>
              <w:rPr>
                <w:rFonts w:hint="eastAsia"/>
              </w:rPr>
              <w:t>a）无年度使用计划扣 10 分。</w:t>
            </w:r>
          </w:p>
          <w:p>
            <w:pPr>
              <w:ind w:firstLine="0" w:firstLineChars="0"/>
            </w:pPr>
            <w:r>
              <w:rPr>
                <w:rFonts w:hint="eastAsia"/>
              </w:rPr>
              <w:t>b）安全费用使用不符合规定每</w:t>
            </w:r>
            <w:r>
              <w:rPr>
                <w:rFonts w:hint="eastAsia"/>
                <w:lang w:eastAsia="zh-CN"/>
              </w:rPr>
              <w:t>发现</w:t>
            </w:r>
            <w:r>
              <w:rPr>
                <w:rFonts w:hint="eastAsia"/>
              </w:rPr>
              <w:t>一处扣 5分，未专款专用不得分。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83" w:hRule="atLeast"/>
        </w:trPr>
        <w:tc>
          <w:tcPr>
            <w:tcW w:w="1332"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w:t>
            </w:r>
            <w:r>
              <w:rPr>
                <w:rFonts w:hint="eastAsia"/>
                <w:lang w:val="en-US" w:eastAsia="zh-CN"/>
              </w:rPr>
              <w:t>.</w:t>
            </w:r>
            <w:r>
              <w:rPr>
                <w:rFonts w:hint="eastAsia"/>
              </w:rPr>
              <w:t>安全生产责任保险和工伤保险管理</w:t>
            </w:r>
          </w:p>
          <w:p>
            <w:pPr>
              <w:ind w:firstLine="0" w:firstLineChars="0"/>
            </w:pPr>
            <w:r>
              <w:rPr>
                <w:rFonts w:hint="eastAsia"/>
              </w:rPr>
              <w:t>a）按《安全生产责任保险实施办法》投保安全生产责任险。</w:t>
            </w:r>
          </w:p>
          <w:p>
            <w:pPr>
              <w:ind w:firstLine="0" w:firstLineChars="0"/>
            </w:pPr>
            <w:r>
              <w:rPr>
                <w:rFonts w:hint="eastAsia"/>
                <w:lang w:val="en-US" w:eastAsia="zh-CN"/>
              </w:rPr>
              <w:t>b</w:t>
            </w:r>
            <w:r>
              <w:rPr>
                <w:rFonts w:hint="eastAsia"/>
                <w:lang w:eastAsia="zh-CN"/>
              </w:rPr>
              <w:t>）</w:t>
            </w:r>
            <w:r>
              <w:rPr>
                <w:rFonts w:hint="eastAsia"/>
              </w:rPr>
              <w:t>建立工伤保险管理制度，并按照《工伤保险条例》参加工伤保险，为员工缴纳足额的工伤保险费。</w:t>
            </w:r>
          </w:p>
          <w:p>
            <w:pPr>
              <w:ind w:firstLine="0" w:firstLineChars="0"/>
            </w:pPr>
            <w:r>
              <w:rPr>
                <w:rFonts w:hint="eastAsia"/>
              </w:rPr>
              <w:t>c）应保障伤亡员工获取相应的工伤保险与赔付。</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a）未投保安全生产责任险的扣10分。</w:t>
            </w:r>
          </w:p>
          <w:p>
            <w:pPr>
              <w:ind w:firstLine="0" w:firstLineChars="0"/>
            </w:pPr>
            <w:r>
              <w:rPr>
                <w:rFonts w:hint="eastAsia"/>
              </w:rPr>
              <w:t>b）无工伤保险管理制度的不得分，抽查岗位人员的缴费证明材料，有一人未缴费或未足额缴费的不得分。</w:t>
            </w:r>
          </w:p>
          <w:p>
            <w:pPr>
              <w:ind w:firstLine="0" w:firstLineChars="0"/>
            </w:pPr>
            <w:r>
              <w:rPr>
                <w:rFonts w:hint="eastAsia"/>
              </w:rPr>
              <w:t>c）未保障赔偿或不到位的不得分。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20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190" w:hRule="atLeast"/>
        </w:trPr>
        <w:tc>
          <w:tcPr>
            <w:tcW w:w="1332" w:type="dxa"/>
            <w:gridSpan w:val="2"/>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1.5安全文化建设</w:t>
            </w: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1</w:t>
            </w:r>
            <w:r>
              <w:rPr>
                <w:rFonts w:hint="eastAsia"/>
                <w:lang w:val="en-US" w:eastAsia="zh-CN"/>
              </w:rPr>
              <w:t>.</w:t>
            </w:r>
            <w:r>
              <w:rPr>
                <w:rFonts w:hint="eastAsia"/>
              </w:rPr>
              <w:t>依据 AQ/T 9004 和 GB/T 33000 要求，实施安全文化建设，基本形成全体员工所认同、共同遵守、带有本单位特点的安全人生观的企业安全文化体系</w:t>
            </w:r>
            <w:r>
              <w:rPr>
                <w:rFonts w:hint="eastAsia"/>
                <w:lang w:eastAsia="zh-CN"/>
              </w:rPr>
              <w:t>，</w:t>
            </w:r>
            <w:r>
              <w:rPr>
                <w:rFonts w:hint="eastAsia"/>
              </w:rPr>
              <w:t>以积极上进的安全文化理念为指导，制定具体的安全文化建设活动实施计划。</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未实施安全文化建设不得分，无活动实施计划扣 10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190" w:hRule="atLeast"/>
        </w:trPr>
        <w:tc>
          <w:tcPr>
            <w:tcW w:w="1332" w:type="dxa"/>
            <w:gridSpan w:val="2"/>
            <w:vMerge w:val="continue"/>
            <w:tcBorders>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2</w:t>
            </w:r>
            <w:r>
              <w:rPr>
                <w:rFonts w:hint="eastAsia"/>
                <w:lang w:val="en-US" w:eastAsia="zh-CN"/>
              </w:rPr>
              <w:t>.</w:t>
            </w:r>
            <w:r>
              <w:rPr>
                <w:rFonts w:hint="eastAsia"/>
              </w:rPr>
              <w:t>安全活动</w:t>
            </w:r>
          </w:p>
          <w:p>
            <w:pPr>
              <w:ind w:firstLine="0" w:firstLineChars="0"/>
            </w:pPr>
            <w:r>
              <w:rPr>
                <w:rFonts w:hint="eastAsia"/>
              </w:rPr>
              <w:t>a）开展安全活动，通过安全演讲、安全知识竞赛等形式进行安全知识和事故案例教育。</w:t>
            </w:r>
          </w:p>
          <w:p>
            <w:pPr>
              <w:ind w:firstLine="0" w:firstLineChars="0"/>
            </w:pPr>
            <w:r>
              <w:rPr>
                <w:rFonts w:hint="eastAsia"/>
              </w:rPr>
              <w:t>b）按企业规定定期或不定期以宣传栏、黑板报、安全知识宣讲等方式进行安全宣教，并及时更新宣教内容。</w:t>
            </w:r>
          </w:p>
          <w:p>
            <w:pPr>
              <w:ind w:firstLine="0" w:firstLineChars="0"/>
            </w:pPr>
            <w:r>
              <w:rPr>
                <w:rFonts w:hint="eastAsia"/>
              </w:rPr>
              <w:t>c）安全宣教活动有负责人、有计划、有内容、有记录或影像资料。</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a）年度没有开展安全活动扣 20 分。</w:t>
            </w:r>
          </w:p>
          <w:p>
            <w:pPr>
              <w:ind w:firstLine="0" w:firstLineChars="0"/>
            </w:pPr>
            <w:r>
              <w:rPr>
                <w:rFonts w:hint="eastAsia"/>
              </w:rPr>
              <w:t>b）安全宣传活动没有紧密结合企业安全目标和安全文化建设目标扣 10 分。</w:t>
            </w:r>
          </w:p>
          <w:p>
            <w:pPr>
              <w:ind w:firstLine="0" w:firstLineChars="0"/>
            </w:pPr>
            <w:r>
              <w:rPr>
                <w:rFonts w:hint="eastAsia"/>
              </w:rPr>
              <w:t>c）安全宣教活动过程不规范扣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Arial" w:hAnsi="Arial" w:cs="Arial"/>
                <w:kern w:val="0"/>
                <w:szCs w:val="21"/>
              </w:rPr>
            </w:pPr>
            <w:r>
              <w:rPr>
                <w:rFonts w:hint="eastAsia" w:ascii="Arial" w:hAnsi="Arial" w:cs="Arial"/>
                <w:kern w:val="0"/>
                <w:szCs w:val="21"/>
                <w:lang w:val="en-US" w:eastAsia="zh-CN"/>
              </w:rPr>
              <w:t>20</w:t>
            </w:r>
            <w:r>
              <w:rPr>
                <w:rFonts w:hint="eastAsia"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397" w:hRule="atLeast"/>
        </w:trPr>
        <w:tc>
          <w:tcPr>
            <w:tcW w:w="1332" w:type="dxa"/>
            <w:gridSpan w:val="2"/>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1.6安全生产信息化建设</w:t>
            </w:r>
          </w:p>
        </w:tc>
        <w:tc>
          <w:tcPr>
            <w:tcW w:w="558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应</w:t>
            </w:r>
            <w:r>
              <w:rPr>
                <w:rFonts w:hint="eastAsia"/>
                <w:lang w:eastAsia="zh-CN"/>
              </w:rPr>
              <w:t>结合</w:t>
            </w:r>
            <w:r>
              <w:rPr>
                <w:rFonts w:hint="eastAsia"/>
              </w:rPr>
              <w:t>自身实际情况，利用信息化手段加强安全生产管理工作，</w:t>
            </w:r>
            <w:r>
              <w:rPr>
                <w:rFonts w:hint="default" w:ascii="Times New Roman" w:hAnsi="Times New Roman" w:cs="Times New Roman"/>
                <w:szCs w:val="32"/>
              </w:rPr>
              <w:t>购置、安装</w:t>
            </w:r>
            <w:r>
              <w:rPr>
                <w:rFonts w:hint="eastAsia" w:cs="Times New Roman"/>
                <w:szCs w:val="32"/>
                <w:lang w:eastAsia="zh-CN"/>
              </w:rPr>
              <w:t>、使用</w:t>
            </w:r>
            <w:r>
              <w:rPr>
                <w:rFonts w:hint="default" w:ascii="Times New Roman" w:hAnsi="Times New Roman" w:cs="Times New Roman"/>
                <w:szCs w:val="32"/>
              </w:rPr>
              <w:t>符合技术要求的爆破作业现场视频采</w:t>
            </w:r>
            <w:r>
              <w:rPr>
                <w:rFonts w:hint="default" w:ascii="Times New Roman" w:hAnsi="Times New Roman" w:cs="Times New Roman"/>
                <w:szCs w:val="32"/>
                <w:lang w:eastAsia="zh-CN"/>
              </w:rPr>
              <w:t>集设备</w:t>
            </w:r>
            <w:r>
              <w:rPr>
                <w:rFonts w:hint="eastAsia" w:cs="Times New Roman"/>
                <w:szCs w:val="32"/>
                <w:lang w:eastAsia="zh-CN"/>
              </w:rPr>
              <w:t>，使用福建省危险物品“一体化”安全监管信息平台企业端（危企助手</w:t>
            </w:r>
            <w:r>
              <w:rPr>
                <w:rFonts w:hint="eastAsia" w:cs="Times New Roman"/>
                <w:szCs w:val="32"/>
                <w:lang w:val="en-US" w:eastAsia="zh-CN"/>
              </w:rPr>
              <w:t>APP</w:t>
            </w:r>
            <w:r>
              <w:rPr>
                <w:rFonts w:hint="eastAsia" w:cs="Times New Roman"/>
                <w:szCs w:val="32"/>
                <w:lang w:eastAsia="zh-CN"/>
              </w:rPr>
              <w:t>）进行物品流向监管</w:t>
            </w:r>
            <w:r>
              <w:rPr>
                <w:rFonts w:hint="eastAsia"/>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rPr>
            </w:pPr>
            <w:r>
              <w:rPr>
                <w:rFonts w:hint="eastAsia"/>
              </w:rPr>
              <w:t>a）未开展</w:t>
            </w:r>
            <w:r>
              <w:rPr>
                <w:rFonts w:hint="eastAsia" w:ascii="宋体" w:hAnsi="宋体" w:cs="宋体"/>
                <w:kern w:val="0"/>
                <w:szCs w:val="21"/>
              </w:rPr>
              <w:t>安全生产信息化建设</w:t>
            </w:r>
            <w:r>
              <w:rPr>
                <w:rFonts w:hint="eastAsia"/>
              </w:rPr>
              <w:t>的此项不得分。</w:t>
            </w:r>
          </w:p>
          <w:p>
            <w:pPr>
              <w:ind w:firstLine="0" w:firstLineChars="0"/>
              <w:rPr>
                <w:rFonts w:hint="eastAsia"/>
                <w:lang w:val="en-US" w:eastAsia="zh-CN"/>
              </w:rPr>
            </w:pPr>
            <w:r>
              <w:rPr>
                <w:rFonts w:hint="eastAsia"/>
              </w:rPr>
              <w:t>b）</w:t>
            </w:r>
            <w:r>
              <w:rPr>
                <w:rFonts w:hint="eastAsia"/>
                <w:lang w:eastAsia="zh-CN"/>
              </w:rPr>
              <w:t>未</w:t>
            </w:r>
            <w:r>
              <w:rPr>
                <w:rFonts w:hint="default" w:ascii="Times New Roman" w:hAnsi="Times New Roman" w:cs="Times New Roman"/>
                <w:szCs w:val="32"/>
              </w:rPr>
              <w:t>购置、安装</w:t>
            </w:r>
            <w:r>
              <w:rPr>
                <w:rFonts w:hint="eastAsia" w:cs="Times New Roman"/>
                <w:szCs w:val="32"/>
                <w:lang w:eastAsia="zh-CN"/>
              </w:rPr>
              <w:t>、使用</w:t>
            </w:r>
            <w:r>
              <w:rPr>
                <w:rFonts w:hint="default" w:ascii="Times New Roman" w:hAnsi="Times New Roman" w:cs="Times New Roman"/>
                <w:szCs w:val="32"/>
              </w:rPr>
              <w:t>符合技术要求的爆破作业现场视频采</w:t>
            </w:r>
            <w:r>
              <w:rPr>
                <w:rFonts w:hint="default" w:ascii="Times New Roman" w:hAnsi="Times New Roman" w:cs="Times New Roman"/>
                <w:szCs w:val="32"/>
                <w:lang w:eastAsia="zh-CN"/>
              </w:rPr>
              <w:t>集设备</w:t>
            </w:r>
            <w:r>
              <w:rPr>
                <w:rFonts w:hint="eastAsia" w:cs="Times New Roman"/>
                <w:szCs w:val="32"/>
                <w:lang w:eastAsia="zh-CN"/>
              </w:rPr>
              <w:t>的此项不得分</w:t>
            </w:r>
            <w:r>
              <w:rPr>
                <w:rFonts w:hint="eastAsia"/>
                <w:lang w:val="en-US" w:eastAsia="zh-CN"/>
              </w:rPr>
              <w:t>。</w:t>
            </w:r>
          </w:p>
          <w:p>
            <w:pPr>
              <w:ind w:firstLine="0" w:firstLineChars="0"/>
              <w:rPr>
                <w:rFonts w:hint="default"/>
                <w:lang w:val="en-US" w:eastAsia="zh-CN"/>
              </w:rPr>
            </w:pPr>
            <w:r>
              <w:rPr>
                <w:rFonts w:hint="eastAsia"/>
              </w:rPr>
              <w:t>c）</w:t>
            </w:r>
            <w:r>
              <w:rPr>
                <w:rFonts w:hint="eastAsia"/>
                <w:lang w:eastAsia="zh-CN"/>
              </w:rPr>
              <w:t>未使用“一体化”平台企业端进行管理的此项不得分</w:t>
            </w:r>
            <w:r>
              <w:rPr>
                <w:rFonts w:hint="eastAsia"/>
              </w:rPr>
              <w:t>。</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5</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532" w:hRule="atLeast"/>
        </w:trPr>
        <w:tc>
          <w:tcPr>
            <w:tcW w:w="14683" w:type="dxa"/>
            <w:gridSpan w:val="11"/>
            <w:tcBorders>
              <w:top w:val="single" w:color="000000" w:sz="4" w:space="0"/>
              <w:left w:val="single" w:color="000000" w:sz="4" w:space="0"/>
              <w:right w:val="single" w:color="000000" w:sz="4" w:space="0"/>
            </w:tcBorders>
            <w:vAlign w:val="center"/>
          </w:tcPr>
          <w:p>
            <w:pPr>
              <w:ind w:firstLine="0" w:firstLineChars="0"/>
            </w:pPr>
            <w:r>
              <w:rPr>
                <w:rFonts w:hint="eastAsia" w:ascii="宋体" w:hAnsi="宋体" w:cs="宋体"/>
                <w:b/>
                <w:kern w:val="0"/>
                <w:sz w:val="24"/>
              </w:rPr>
              <w:t>2制度化管理(</w:t>
            </w:r>
            <w:r>
              <w:rPr>
                <w:rFonts w:hint="eastAsia" w:ascii="宋体" w:hAnsi="宋体" w:cs="宋体"/>
                <w:b/>
                <w:kern w:val="0"/>
                <w:sz w:val="24"/>
                <w:lang w:val="en-US" w:eastAsia="zh-CN"/>
              </w:rPr>
              <w:t>9</w:t>
            </w:r>
            <w:r>
              <w:rPr>
                <w:rFonts w:hint="eastAsia" w:ascii="宋体" w:hAnsi="宋体" w:cs="宋体"/>
                <w:b/>
                <w:kern w:val="0"/>
                <w:sz w:val="24"/>
              </w:rPr>
              <w:t>0分)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trHeight w:val="460" w:hRule="atLeast"/>
        </w:trPr>
        <w:tc>
          <w:tcPr>
            <w:tcW w:w="1193" w:type="dxa"/>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应得分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trHeight w:val="1168" w:hRule="atLeast"/>
        </w:trPr>
        <w:tc>
          <w:tcPr>
            <w:tcW w:w="1193" w:type="dxa"/>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2.1资质证照</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1</w:t>
            </w:r>
            <w:r>
              <w:rPr>
                <w:rFonts w:hint="eastAsia"/>
                <w:lang w:val="en-US" w:eastAsia="zh-CN"/>
              </w:rPr>
              <w:t>.</w:t>
            </w:r>
            <w:r>
              <w:rPr>
                <w:rFonts w:hint="eastAsia"/>
              </w:rPr>
              <w:t>企业的《企业法人营业执照》、《爆破作业许可证》等应合法有效，应在资质规定的范围内承揽业务，不得超过承包范围。</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a）企业未取得合法证书或者证书过期未及时进行换证、年审的，此项不得分。</w:t>
            </w:r>
          </w:p>
          <w:p>
            <w:pPr>
              <w:ind w:firstLine="0" w:firstLineChars="0"/>
            </w:pPr>
            <w:r>
              <w:rPr>
                <w:rFonts w:hint="eastAsia"/>
              </w:rPr>
              <w:t>b）超越资质范围承揽业务的此项不得分。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w:t>
            </w:r>
            <w:r>
              <w:rPr>
                <w:rFonts w:hint="eastAsia" w:ascii="Arial" w:hAnsi="Arial" w:cs="Arial"/>
                <w:kern w:val="0"/>
                <w:szCs w:val="21"/>
              </w:rPr>
              <w:t>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577"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2</w:t>
            </w:r>
            <w:r>
              <w:rPr>
                <w:rFonts w:hint="eastAsia"/>
                <w:lang w:val="en-US" w:eastAsia="zh-CN"/>
              </w:rPr>
              <w:t>.</w:t>
            </w:r>
            <w:r>
              <w:rPr>
                <w:rFonts w:hint="eastAsia"/>
              </w:rPr>
              <w:t>爆破技术人员、爆破员、安全员、保管员等经考核合格取得资格证书，持证上岗。</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未持证上岗的每人扣5分。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w:t>
            </w:r>
            <w:r>
              <w:rPr>
                <w:rFonts w:hint="eastAsia" w:ascii="Arial" w:hAnsi="Arial" w:cs="Arial"/>
                <w:kern w:val="0"/>
                <w:szCs w:val="21"/>
              </w:rPr>
              <w:t>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275"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2.2法律、法规、规章、标准获取与评价</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a）建立识别、获取、评审、更新安全生产法律、法规、规章、标准的管理制度，明确部门、人员职责。</w:t>
            </w:r>
          </w:p>
          <w:p>
            <w:pPr>
              <w:ind w:firstLine="0" w:firstLineChars="0"/>
            </w:pPr>
            <w:r>
              <w:rPr>
                <w:rFonts w:hint="eastAsia"/>
              </w:rPr>
              <w:t>b）</w:t>
            </w:r>
            <w:r>
              <w:rPr>
                <w:rFonts w:hint="eastAsia"/>
                <w:lang w:eastAsia="zh-CN"/>
              </w:rPr>
              <w:t>企业</w:t>
            </w:r>
            <w:r>
              <w:rPr>
                <w:rFonts w:hint="eastAsia"/>
              </w:rPr>
              <w:t>各管理部门应按企业规定定期识别和获取本</w:t>
            </w:r>
            <w:r>
              <w:rPr>
                <w:rFonts w:hint="eastAsia"/>
                <w:lang w:eastAsia="zh-CN"/>
              </w:rPr>
              <w:t>部门</w:t>
            </w:r>
            <w:r>
              <w:rPr>
                <w:rFonts w:hint="eastAsia"/>
              </w:rPr>
              <w:t>适用的安全生产法律、法规、规章、标准，并跟踪、掌握有关法律、法规、规章、标准的修订情况，并将清单交</w:t>
            </w:r>
            <w:r>
              <w:rPr>
                <w:rFonts w:hint="eastAsia"/>
                <w:lang w:eastAsia="zh-CN"/>
              </w:rPr>
              <w:t>企业</w:t>
            </w:r>
            <w:r>
              <w:rPr>
                <w:rFonts w:hint="eastAsia"/>
              </w:rPr>
              <w:t>安全管理部门汇总。</w:t>
            </w:r>
          </w:p>
          <w:p>
            <w:pPr>
              <w:ind w:firstLine="0" w:firstLineChars="0"/>
            </w:pPr>
            <w:r>
              <w:rPr>
                <w:rFonts w:hint="eastAsia"/>
              </w:rPr>
              <w:t>c）</w:t>
            </w:r>
            <w:r>
              <w:rPr>
                <w:rFonts w:hint="eastAsia"/>
                <w:lang w:eastAsia="zh-CN"/>
              </w:rPr>
              <w:t>企业</w:t>
            </w:r>
            <w:r>
              <w:rPr>
                <w:rFonts w:hint="eastAsia"/>
              </w:rPr>
              <w:t>安全管理部门应按企业规定定期识别和获取使用安全生产法律、法规、规章、标准与行业安全监管文件，分类建立适用的清单并发布。</w:t>
            </w:r>
          </w:p>
          <w:p>
            <w:pPr>
              <w:ind w:firstLine="0" w:firstLineChars="0"/>
            </w:pPr>
            <w:r>
              <w:rPr>
                <w:rFonts w:hint="eastAsia"/>
              </w:rPr>
              <w:t>d）</w:t>
            </w:r>
            <w:r>
              <w:rPr>
                <w:rFonts w:hint="eastAsia"/>
                <w:lang w:eastAsia="zh-CN"/>
              </w:rPr>
              <w:t>企业</w:t>
            </w:r>
            <w:r>
              <w:rPr>
                <w:rFonts w:hint="eastAsia"/>
              </w:rPr>
              <w:t>各管理部门能及时将适用的安全生产法律、法规、规章、标准与安全监管文件传达给从业人员，并对从业人员和相关方进行培训。</w:t>
            </w:r>
          </w:p>
          <w:p>
            <w:pPr>
              <w:ind w:firstLine="0" w:firstLineChars="0"/>
            </w:pPr>
            <w:r>
              <w:rPr>
                <w:rFonts w:hint="eastAsia"/>
              </w:rPr>
              <w:t>e）每两年或按需要开展一次安全生产法律、法规、规章、标准及安全监管文件的符合性评价并根据评价结果及时更新。</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a）未制定管理制度不得分，未明确部门、人员职责扣5 分。</w:t>
            </w:r>
          </w:p>
          <w:p>
            <w:pPr>
              <w:ind w:firstLine="0" w:firstLineChars="0"/>
            </w:pPr>
            <w:r>
              <w:rPr>
                <w:rFonts w:hint="eastAsia"/>
              </w:rPr>
              <w:t>b）未按规定定期识别和获取的扣 5 分，未将相关清单交安全生产管理部门汇总扣2 分。</w:t>
            </w:r>
          </w:p>
          <w:p>
            <w:pPr>
              <w:ind w:firstLine="0" w:firstLineChars="0"/>
            </w:pPr>
            <w:r>
              <w:rPr>
                <w:rFonts w:hint="eastAsia"/>
              </w:rPr>
              <w:t>c）未定期识别和获取使用安全生产法律、法规、规章、标准与行业安全监管文件扣 4 分，无清单扣 5 分。</w:t>
            </w:r>
          </w:p>
          <w:p>
            <w:pPr>
              <w:ind w:firstLine="0" w:firstLineChars="0"/>
            </w:pPr>
            <w:r>
              <w:rPr>
                <w:rFonts w:hint="eastAsia"/>
              </w:rPr>
              <w:t>d）无适用的安全生产法律、法规、规章、标准与安全监管文件清单扣2 分，无培训记录扣3 分。</w:t>
            </w:r>
          </w:p>
          <w:p>
            <w:pPr>
              <w:ind w:firstLine="0" w:firstLineChars="0"/>
            </w:pPr>
            <w:r>
              <w:rPr>
                <w:rFonts w:hint="eastAsia"/>
              </w:rPr>
              <w:t>e）未定期开展安全生产法律、法规、规章、标准的符合性评价或无记录的扣3 分，未及时更新扣2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w:t>
            </w:r>
            <w:r>
              <w:rPr>
                <w:rFonts w:hint="eastAsia" w:ascii="Arial" w:hAnsi="Arial" w:cs="Arial"/>
                <w:kern w:val="0"/>
                <w:szCs w:val="21"/>
              </w:rPr>
              <w:t>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2458"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textAlignment w:val="center"/>
              <w:rPr>
                <w:rFonts w:ascii="宋体" w:hAnsi="宋体" w:cs="宋体"/>
                <w:szCs w:val="21"/>
              </w:rPr>
            </w:pPr>
            <w:r>
              <w:rPr>
                <w:rFonts w:hint="eastAsia" w:ascii="宋体" w:hAnsi="宋体" w:cs="宋体"/>
                <w:kern w:val="0"/>
                <w:szCs w:val="21"/>
              </w:rPr>
              <w:t>2.3安全管理制度</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val="en-US" w:eastAsia="zh-CN"/>
              </w:rPr>
            </w:pPr>
            <w:r>
              <w:rPr>
                <w:rFonts w:hint="eastAsia"/>
              </w:rPr>
              <w:t>a）建立健全安全生产规章制度并符合国家和行业相关要求，制度应包括但不限于以下内容：目标管理、安全生产责任制、安全生产例会制度、安全风险管理及隐患排查治理、职业病危害防治、培训教育、特种作业人员管理、设备设施管理、危险作业安全管理、安全生产</w:t>
            </w:r>
            <w:r>
              <w:rPr>
                <w:rFonts w:hint="eastAsia"/>
                <w:lang w:val="en-US" w:eastAsia="zh-CN"/>
              </w:rPr>
              <w:t>奖惩</w:t>
            </w:r>
            <w:r>
              <w:rPr>
                <w:rFonts w:hint="eastAsia"/>
              </w:rPr>
              <w:t>管理、安全生产费用管理制度、个体防护用品管理、</w:t>
            </w:r>
            <w:r>
              <w:rPr>
                <w:rFonts w:hint="eastAsia"/>
                <w:lang w:val="en-US" w:eastAsia="zh-CN"/>
              </w:rPr>
              <w:t>出入库</w:t>
            </w:r>
            <w:r>
              <w:rPr>
                <w:rFonts w:hint="eastAsia"/>
              </w:rPr>
              <w:t>登记制度、库房管理制度、作业现场管理制度、废旧爆炸物品销毁制度、安全检查制度、消防管理制度、安全保卫制度、定员定量制度、装卸管理制度、视频监控系统管理制度、安全生产事故管理制度、爆破器材的发放及使用制度等，并以文件形式发布实施</w:t>
            </w:r>
            <w:r>
              <w:rPr>
                <w:rFonts w:hint="eastAsia"/>
                <w:lang w:eastAsia="zh-CN"/>
              </w:rPr>
              <w:t>；</w:t>
            </w:r>
          </w:p>
          <w:p>
            <w:pPr>
              <w:ind w:firstLine="0" w:firstLineChars="0"/>
            </w:pPr>
            <w:r>
              <w:rPr>
                <w:rFonts w:hint="eastAsia"/>
              </w:rPr>
              <w:t>b）各类安全生产规章制度应配套相应的记录表格，与制度同时正式发布实施；</w:t>
            </w:r>
          </w:p>
          <w:p>
            <w:pPr>
              <w:ind w:firstLine="0" w:firstLineChars="0"/>
            </w:pPr>
            <w:r>
              <w:rPr>
                <w:rFonts w:hint="eastAsia"/>
              </w:rPr>
              <w:t>c）安全生产规章制度应发放至相关部门，应对新发布的安全管理制度宣贯。</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a）未建立安全生产规章制度的不得分，每少一种制度扣 4 分，制度未正式发布扣10 分，制度内容与国家和行业相关要求不符</w:t>
            </w:r>
            <w:r>
              <w:rPr>
                <w:rFonts w:hint="eastAsia"/>
                <w:lang w:eastAsia="zh-CN"/>
              </w:rPr>
              <w:t>的</w:t>
            </w:r>
            <w:r>
              <w:rPr>
                <w:rFonts w:hint="eastAsia"/>
              </w:rPr>
              <w:t>每</w:t>
            </w:r>
            <w:r>
              <w:rPr>
                <w:rFonts w:hint="eastAsia"/>
                <w:lang w:eastAsia="zh-CN"/>
              </w:rPr>
              <w:t>发现</w:t>
            </w:r>
            <w:r>
              <w:rPr>
                <w:rFonts w:hint="eastAsia"/>
              </w:rPr>
              <w:t>一处扣 2 分。</w:t>
            </w:r>
          </w:p>
          <w:p>
            <w:pPr>
              <w:ind w:firstLine="0" w:firstLineChars="0"/>
            </w:pPr>
            <w:r>
              <w:rPr>
                <w:rFonts w:hint="eastAsia"/>
              </w:rPr>
              <w:t>b）未同时发布相应的记录表格或表格不配套，每</w:t>
            </w:r>
            <w:r>
              <w:rPr>
                <w:rFonts w:hint="eastAsia"/>
                <w:lang w:eastAsia="zh-CN"/>
              </w:rPr>
              <w:t>发现</w:t>
            </w:r>
            <w:r>
              <w:rPr>
                <w:rFonts w:hint="eastAsia"/>
              </w:rPr>
              <w:t>一项扣 2 分。</w:t>
            </w:r>
          </w:p>
          <w:p>
            <w:pPr>
              <w:ind w:firstLine="0" w:firstLineChars="0"/>
            </w:pPr>
            <w:r>
              <w:rPr>
                <w:rFonts w:hint="eastAsia"/>
              </w:rPr>
              <w:t>c）未发放到相关部门的，每</w:t>
            </w:r>
            <w:r>
              <w:rPr>
                <w:rFonts w:hint="eastAsia"/>
                <w:lang w:eastAsia="zh-CN"/>
              </w:rPr>
              <w:t>缺</w:t>
            </w:r>
            <w:r>
              <w:rPr>
                <w:rFonts w:hint="eastAsia"/>
              </w:rPr>
              <w:t>一个部门扣 10 分，每</w:t>
            </w:r>
            <w:r>
              <w:rPr>
                <w:rFonts w:hint="eastAsia"/>
                <w:lang w:eastAsia="zh-CN"/>
              </w:rPr>
              <w:t>缺</w:t>
            </w:r>
            <w:r>
              <w:rPr>
                <w:rFonts w:hint="eastAsia"/>
              </w:rPr>
              <w:t>一个制度宣贯记录扣 2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20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279"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left"/>
            </w:pPr>
            <w:r>
              <w:rPr>
                <w:rFonts w:hint="eastAsia"/>
              </w:rPr>
              <w:t>2.4安全技术操作规程</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a）应根据爆破作业流程制定安全技术操作规程，其内容应符合 GB6722 、 GA990、GA991的要求。</w:t>
            </w:r>
          </w:p>
          <w:p>
            <w:pPr>
              <w:ind w:firstLine="0" w:firstLineChars="0"/>
            </w:pPr>
            <w:r>
              <w:rPr>
                <w:rFonts w:hint="eastAsia"/>
              </w:rPr>
              <w:t>b）安全技术操作规程应贯彻落实国家和行业标准以及行业安全监管规定，适应技术进步和管理的变化。</w:t>
            </w:r>
          </w:p>
          <w:p>
            <w:pPr>
              <w:ind w:firstLine="0" w:firstLineChars="0"/>
            </w:pPr>
            <w:r>
              <w:rPr>
                <w:rFonts w:hint="eastAsia"/>
              </w:rPr>
              <w:t>c）安全技术操作规程应经审核审批发布实施，安全技术操作规程应宣贯到从业人员，并有记录。</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a）未编制、发布安全技术操作规程不得分，内容和格式不符合要求扣5 分。</w:t>
            </w:r>
          </w:p>
          <w:p>
            <w:pPr>
              <w:ind w:firstLine="0" w:firstLineChars="0"/>
            </w:pPr>
            <w:r>
              <w:rPr>
                <w:rFonts w:hint="eastAsia"/>
              </w:rPr>
              <w:t>b）安全技术操作规程内容不符合国家和行业标准及安全监管规定的、不适应企业技术进步和管理变化的、未进行定期更新的每有一项扣 5 分。</w:t>
            </w:r>
          </w:p>
          <w:p>
            <w:pPr>
              <w:ind w:firstLine="0" w:firstLineChars="0"/>
            </w:pPr>
            <w:r>
              <w:rPr>
                <w:rFonts w:hint="eastAsia"/>
              </w:rPr>
              <w:t>c）安全技术操作规程未宣贯到从业人员、无宣贯记录每有一个扣 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2</w:t>
            </w:r>
            <w:r>
              <w:rPr>
                <w:rFonts w:hint="eastAsia" w:ascii="Arial" w:hAnsi="Arial" w:cs="Arial"/>
                <w:kern w:val="0"/>
                <w:szCs w:val="21"/>
              </w:rPr>
              <w:t>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textAlignment w:val="center"/>
              <w:rPr>
                <w:rFonts w:ascii="宋体" w:hAnsi="宋体" w:cs="宋体"/>
                <w:kern w:val="0"/>
                <w:szCs w:val="21"/>
              </w:rPr>
            </w:pPr>
            <w:r>
              <w:rPr>
                <w:rFonts w:hint="eastAsia" w:ascii="宋体" w:hAnsi="宋体" w:cs="宋体"/>
                <w:kern w:val="0"/>
                <w:szCs w:val="21"/>
              </w:rPr>
              <w:t>2.5 制度评估与修订</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2"/>
              </w:numPr>
              <w:ind w:firstLine="0" w:firstLineChars="0"/>
            </w:pPr>
            <w:r>
              <w:rPr>
                <w:rFonts w:hint="eastAsia"/>
              </w:rPr>
              <w:t>每年至少一次对安全生产规章制度、安全技术操作规程的执行情况和适用情况进行检查评估，并根据评估结果对相关安全生产规章制度和安全技术操作规程进行修订和发布。</w:t>
            </w:r>
          </w:p>
          <w:p>
            <w:pPr>
              <w:ind w:firstLine="0" w:firstLineChars="0"/>
            </w:pPr>
            <w:r>
              <w:rPr>
                <w:rFonts w:hint="eastAsia"/>
              </w:rPr>
              <w:t>b）当隶属关系、生产经营范围、规模和标准、安全监管规定等发生变化时应及时修订审批发布，确保其有效和适用。</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a）无年度检查评估或未定期进行修订和发布</w:t>
            </w:r>
            <w:r>
              <w:rPr>
                <w:rFonts w:hint="eastAsia"/>
                <w:lang w:eastAsia="zh-CN"/>
              </w:rPr>
              <w:t>的</w:t>
            </w:r>
            <w:r>
              <w:rPr>
                <w:rFonts w:hint="eastAsia"/>
              </w:rPr>
              <w:t>扣10分。</w:t>
            </w:r>
          </w:p>
          <w:p>
            <w:pPr>
              <w:ind w:firstLine="0" w:firstLineChars="0"/>
            </w:pPr>
            <w:r>
              <w:rPr>
                <w:rFonts w:hint="eastAsia"/>
              </w:rPr>
              <w:t>b）当发生相关变化时未及时修订审批发布的安全生产规章制度或安全技术操作规程扣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hint="eastAsia" w:ascii="Arial" w:hAnsi="Arial" w:eastAsia="宋体" w:cs="Arial"/>
                <w:kern w:val="0"/>
                <w:szCs w:val="21"/>
                <w:lang w:eastAsia="zh-CN"/>
              </w:rPr>
            </w:pPr>
            <w:r>
              <w:rPr>
                <w:rFonts w:hint="eastAsia" w:ascii="Arial" w:hAnsi="Arial" w:cs="Arial"/>
                <w:kern w:val="0"/>
                <w:szCs w:val="21"/>
              </w:rPr>
              <w:t>10</w:t>
            </w:r>
            <w:r>
              <w:rPr>
                <w:rFonts w:hint="eastAsia" w:ascii="Arial" w:hAnsi="Arial" w:cs="Arial"/>
                <w:kern w:val="0"/>
                <w:szCs w:val="21"/>
                <w:lang w:eastAsia="zh-CN"/>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89"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left"/>
              <w:textAlignment w:val="center"/>
              <w:rPr>
                <w:rFonts w:ascii="宋体" w:hAnsi="宋体" w:cs="宋体"/>
                <w:szCs w:val="21"/>
              </w:rPr>
            </w:pPr>
            <w:r>
              <w:rPr>
                <w:rFonts w:hint="eastAsia" w:ascii="宋体" w:hAnsi="宋体" w:cs="宋体"/>
                <w:kern w:val="0"/>
                <w:szCs w:val="21"/>
              </w:rPr>
              <w:t>2.6 文件和档案管理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a）制定文件和档案管理制度，明确责任部门、人员、流程、形式、权限、各类安全生产档案及保存要求等，包括对安全生产规章制度和安全技术操作规程的编制、发布、发放、执行效果、检查、评审和修订等。</w:t>
            </w:r>
          </w:p>
          <w:p>
            <w:pPr>
              <w:ind w:firstLine="0" w:firstLineChars="0"/>
            </w:pPr>
            <w:r>
              <w:rPr>
                <w:rFonts w:hint="eastAsia"/>
              </w:rPr>
              <w:t>b）建立主要安全作业过程、事件、活动、检查等安全档案，每年对安全作业活动记录、文件、资料收集并归档管理。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a）无文件和档案管理制度不得分，内容不全或不明确每缺少一项扣 1 分。</w:t>
            </w:r>
          </w:p>
          <w:p>
            <w:pPr>
              <w:ind w:firstLine="0" w:firstLineChars="0"/>
            </w:pPr>
            <w:r>
              <w:rPr>
                <w:rFonts w:hint="eastAsia"/>
              </w:rPr>
              <w:t>b）安全档案不规范或资料收集归档不全扣2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ascii="Arial" w:hAnsi="Arial" w:cs="Arial"/>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501" w:hRule="atLeast"/>
        </w:trPr>
        <w:tc>
          <w:tcPr>
            <w:tcW w:w="14683" w:type="dxa"/>
            <w:gridSpan w:val="11"/>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ascii="宋体" w:hAnsi="宋体" w:cs="宋体"/>
                <w:b/>
                <w:kern w:val="0"/>
                <w:sz w:val="24"/>
              </w:rPr>
              <w:t>3教育培训(1</w:t>
            </w:r>
            <w:r>
              <w:rPr>
                <w:rFonts w:hint="eastAsia" w:ascii="宋体" w:hAnsi="宋体" w:cs="宋体"/>
                <w:b/>
                <w:kern w:val="0"/>
                <w:sz w:val="24"/>
                <w:lang w:val="en-US" w:eastAsia="zh-CN"/>
              </w:rPr>
              <w:t>3</w:t>
            </w:r>
            <w:r>
              <w:rPr>
                <w:rFonts w:hint="eastAsia" w:ascii="宋体" w:hAnsi="宋体" w:cs="宋体"/>
                <w:b/>
                <w:kern w:val="0"/>
                <w:sz w:val="24"/>
              </w:rPr>
              <w:t>0分)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trHeight w:val="503"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应得分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trHeight w:val="1321"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textAlignment w:val="center"/>
              <w:rPr>
                <w:rFonts w:ascii="宋体" w:hAnsi="宋体" w:cs="宋体"/>
                <w:szCs w:val="21"/>
              </w:rPr>
            </w:pPr>
            <w:r>
              <w:rPr>
                <w:rFonts w:hint="eastAsia" w:ascii="宋体" w:hAnsi="宋体" w:cs="宋体"/>
                <w:kern w:val="0"/>
                <w:szCs w:val="21"/>
              </w:rPr>
              <w:t>3.1教育培训管理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3"/>
              </w:numPr>
              <w:ind w:firstLine="0" w:firstLineChars="0"/>
            </w:pPr>
            <w:r>
              <w:rPr>
                <w:rFonts w:hint="eastAsia"/>
              </w:rPr>
              <w:t>建立健全与作业相适应的安全教育培训制度。</w:t>
            </w:r>
          </w:p>
          <w:p>
            <w:pPr>
              <w:numPr>
                <w:ilvl w:val="0"/>
                <w:numId w:val="3"/>
              </w:numPr>
              <w:ind w:firstLine="0" w:firstLineChars="0"/>
            </w:pPr>
            <w:r>
              <w:rPr>
                <w:rFonts w:hint="eastAsia"/>
              </w:rPr>
              <w:t>企业应制定符合实际的安全教育培训计划，明确培训主管部门、目标、内容和要求等。</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a）无教育培训制度不得分。</w:t>
            </w:r>
          </w:p>
          <w:p>
            <w:pPr>
              <w:ind w:firstLine="0" w:firstLineChars="0"/>
            </w:pPr>
            <w:r>
              <w:rPr>
                <w:rFonts w:hint="eastAsia"/>
              </w:rPr>
              <w:t>b）无年度教育培训计划扣5 分，未开展安全教育培训扣5分。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ascii="Arial" w:hAnsi="Arial" w:cs="Arial"/>
                <w:kern w:val="0"/>
                <w:szCs w:val="21"/>
              </w:rPr>
              <w:t>20分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321"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a）应详细、准确记录培训的时间、内容、参加人员等情况。</w:t>
            </w:r>
          </w:p>
          <w:p>
            <w:pPr>
              <w:ind w:firstLine="0" w:firstLineChars="0"/>
            </w:pPr>
            <w:r>
              <w:rPr>
                <w:rFonts w:hint="eastAsia"/>
              </w:rPr>
              <w:t>b）建立从业人员安全教育和培训档案，并对培训效果进行评估和改进。</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a）无培训记录或培训记录不全的，每次扣1分。</w:t>
            </w:r>
          </w:p>
          <w:p>
            <w:pPr>
              <w:ind w:firstLine="0" w:firstLineChars="0"/>
            </w:pPr>
            <w:r>
              <w:rPr>
                <w:rFonts w:hint="eastAsia"/>
              </w:rPr>
              <w:t>b）未建立档案的扣10分，档案不全的每人次扣2分。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41" w:hRule="atLeast"/>
        </w:trPr>
        <w:tc>
          <w:tcPr>
            <w:tcW w:w="1193" w:type="dxa"/>
            <w:vMerge w:val="restart"/>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3.2人员教育培训</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1.</w:t>
            </w:r>
            <w:r>
              <w:rPr>
                <w:rFonts w:hint="eastAsia"/>
              </w:rPr>
              <w:t>现场作业人员（含特种作业人员）应按照国家有关规定经专门的安全作业培训，取得相应资格证书并按规定参加定期培训。</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未接受培训或未经考核或未持证上岗每人扣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15"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rPr>
                <w:color w:val="auto"/>
              </w:rPr>
            </w:pPr>
            <w:r>
              <w:rPr>
                <w:rFonts w:hint="eastAsia"/>
                <w:color w:val="auto"/>
                <w:lang w:val="en-US" w:eastAsia="zh-CN"/>
              </w:rPr>
              <w:t>2.</w:t>
            </w:r>
            <w:r>
              <w:rPr>
                <w:rFonts w:hint="eastAsia"/>
                <w:color w:val="auto"/>
                <w:lang w:eastAsia="zh-CN"/>
              </w:rPr>
              <w:t>及时传达公安机关有关文件、会议精神，传达要有记录、有视频照片等影像资料存档</w:t>
            </w:r>
            <w:r>
              <w:rPr>
                <w:rFonts w:hint="eastAsia"/>
                <w:color w:val="auto"/>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color w:val="auto"/>
              </w:rPr>
            </w:pPr>
            <w:r>
              <w:rPr>
                <w:rFonts w:hint="eastAsia"/>
                <w:color w:val="auto"/>
                <w:lang w:eastAsia="zh-CN"/>
              </w:rPr>
              <w:t>未按要求传达或无存档的，每次扣</w:t>
            </w:r>
            <w:r>
              <w:rPr>
                <w:rFonts w:hint="eastAsia"/>
                <w:color w:val="auto"/>
                <w:lang w:val="en-US" w:eastAsia="zh-CN"/>
              </w:rPr>
              <w:t>5</w:t>
            </w:r>
            <w:r>
              <w:rPr>
                <w:rFonts w:hint="eastAsia"/>
                <w:color w:val="auto"/>
              </w:rPr>
              <w:t>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20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99"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3.</w:t>
            </w:r>
            <w:r>
              <w:rPr>
                <w:rFonts w:hint="eastAsia"/>
              </w:rPr>
              <w:t>应对新员工进行规定学时的三级安全教育，并经考核合格后方可上岗。</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新员工未进行规定学时的三级教育或考核不合格就上岗作业的，每人次扣5分。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2</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39"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4.</w:t>
            </w:r>
            <w:r>
              <w:rPr>
                <w:rFonts w:hint="eastAsia"/>
              </w:rPr>
              <w:t>对离岗一年重新上岗、转岗人员，应进行规定学时的岗前安全教育培训。</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对离岗一年重新上岗、转岗人员未进行规定学时的岗前安全教育培训或考核不合格就上岗作业的，每人次扣5分。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722"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5.</w:t>
            </w:r>
            <w:r>
              <w:rPr>
                <w:rFonts w:hint="eastAsia"/>
              </w:rPr>
              <w:t>从业人员每年接受再教育培训。</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没有对从业人员每年进行规定学时的继续教育培训或考核不合格就上岗作业的，每人次扣5分。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6.</w:t>
            </w:r>
            <w:r>
              <w:rPr>
                <w:rFonts w:hint="eastAsia"/>
              </w:rPr>
              <w:t>制定新技术、新工艺、新产品、新设备、新材料（“五新”项目）专项培训制度，采用“五新”项目时，上岗操作前应及时对有关操作岗位人员进行专项培训和实际操作技能培训，并有培训记录。</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无“五新”项目专项培训制度扣10 分；抽查近一年内的“五新”项目专项培训情况，每有一人未进行专项培训扣 5分，无培训记录每有一人扣 2分。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Arial" w:hAnsi="Arial" w:cs="Arial"/>
                <w:kern w:val="0"/>
                <w:szCs w:val="21"/>
              </w:rPr>
            </w:pPr>
            <w:r>
              <w:rPr>
                <w:rFonts w:hint="eastAsia" w:ascii="Arial" w:hAnsi="Arial" w:cs="Arial"/>
                <w:kern w:val="0"/>
                <w:szCs w:val="21"/>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vMerge w:val="continue"/>
            <w:tcBorders>
              <w:left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lang w:val="en-US" w:eastAsia="zh-CN"/>
              </w:rPr>
              <w:t>7.保管员、库区值守人员首次进入储存库区进行值守等相关工作</w:t>
            </w:r>
            <w:r>
              <w:rPr>
                <w:rFonts w:hint="eastAsia"/>
              </w:rPr>
              <w:t>前，应进行针对性的安全教育培训</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未进行培训不得分，培训内容无针对性扣1 分，未经培训进入现场每有一人扣 2分，无培训记录扣5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Arial" w:hAnsi="Arial" w:cs="Arial"/>
                <w:kern w:val="0"/>
                <w:szCs w:val="21"/>
              </w:rPr>
            </w:pPr>
            <w:r>
              <w:rPr>
                <w:rFonts w:hint="eastAsia" w:ascii="Arial" w:hAnsi="Arial" w:cs="Arial"/>
                <w:kern w:val="0"/>
                <w:szCs w:val="21"/>
                <w:lang w:val="en-US" w:eastAsia="zh-CN"/>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vMerge w:val="continue"/>
            <w:tcBorders>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lang w:val="en-US" w:eastAsia="zh-CN"/>
              </w:rPr>
              <w:t>8.</w:t>
            </w:r>
            <w:r>
              <w:rPr>
                <w:rFonts w:hint="eastAsia"/>
              </w:rPr>
              <w:t>对外来参观、学习等人员进行有关安全规定、可能接触到的危害及应急知识等内容的安全教育和告知</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未进行安全教育和危害告知或不清楚危害及应急知识等内容扣2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lang w:val="en-US" w:eastAsia="zh-CN"/>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32" w:hRule="atLeast"/>
        </w:trPr>
        <w:tc>
          <w:tcPr>
            <w:tcW w:w="14683" w:type="dxa"/>
            <w:gridSpan w:val="11"/>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ascii="宋体" w:hAnsi="宋体" w:cs="宋体"/>
                <w:b/>
                <w:kern w:val="0"/>
                <w:sz w:val="24"/>
              </w:rPr>
              <w:t>4 民爆物品</w:t>
            </w:r>
            <w:r>
              <w:rPr>
                <w:rFonts w:hint="eastAsia" w:ascii="宋体" w:hAnsi="宋体" w:cs="宋体"/>
                <w:b/>
                <w:kern w:val="0"/>
                <w:sz w:val="24"/>
                <w:lang w:eastAsia="zh-CN"/>
              </w:rPr>
              <w:t>环节</w:t>
            </w:r>
            <w:r>
              <w:rPr>
                <w:rFonts w:hint="eastAsia" w:ascii="宋体" w:hAnsi="宋体" w:cs="宋体"/>
                <w:b/>
                <w:kern w:val="0"/>
                <w:sz w:val="24"/>
              </w:rPr>
              <w:t>管理(1</w:t>
            </w:r>
            <w:r>
              <w:rPr>
                <w:rFonts w:hint="eastAsia" w:ascii="宋体" w:hAnsi="宋体" w:cs="宋体"/>
                <w:b/>
                <w:kern w:val="0"/>
                <w:sz w:val="24"/>
                <w:lang w:val="en-US" w:eastAsia="zh-CN"/>
              </w:rPr>
              <w:t>3</w:t>
            </w:r>
            <w:r>
              <w:rPr>
                <w:rFonts w:hint="eastAsia" w:ascii="宋体" w:hAnsi="宋体" w:cs="宋体"/>
                <w:b/>
                <w:kern w:val="0"/>
                <w:sz w:val="24"/>
              </w:rPr>
              <w:t>0分)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trHeight w:val="487"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rPr>
                <w:rFonts w:ascii="宋体" w:hAnsi="宋体" w:cs="宋体"/>
                <w:szCs w:val="21"/>
              </w:rPr>
            </w:pPr>
            <w:r>
              <w:rPr>
                <w:rFonts w:hint="eastAsia"/>
              </w:rPr>
              <w:t>考评项目</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rPr>
              <w:t>标准要求</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rPr>
              <w:t>应得分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rPr>
              <w:t>实得分</w:t>
            </w: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rPr>
              <w:t>备注</w:t>
            </w: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rPr>
                <w:rFonts w:ascii="宋体" w:hAnsi="宋体" w:cs="宋体"/>
                <w:szCs w:val="21"/>
              </w:rPr>
            </w:pPr>
            <w:r>
              <w:rPr>
                <w:rFonts w:hint="eastAsia"/>
              </w:rPr>
              <w:t>4.1储存设施安全条件</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 储存设施的内外部距离、总平面布置、防护屏障、贮存与运输、建筑与结构、消防给水、电气等安全条件应符合 GA838、GB 50089、GB6722、GB 50154、GB 50016、GB 50057等相关标准和行业相关安全监管规定的要求。</w:t>
            </w:r>
          </w:p>
          <w:p>
            <w:pPr>
              <w:ind w:firstLine="0" w:firstLineChars="0"/>
            </w:pPr>
            <w:r>
              <w:rPr>
                <w:rFonts w:hint="eastAsia"/>
              </w:rPr>
              <w:t>b) 治安防范应按照GA837-2009《民用爆炸物品储存库治安防范要求》，实行人防、物防、技防、犬防。</w:t>
            </w:r>
          </w:p>
          <w:p>
            <w:pPr>
              <w:ind w:firstLine="0" w:firstLineChars="0"/>
            </w:pPr>
            <w:r>
              <w:rPr>
                <w:rFonts w:hint="eastAsia"/>
              </w:rPr>
              <w:t>c) 储存库安全评价报告符合国家规定要求且在有效期内。</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a)储存库的安全条件每有一项不符合相关标准的强制性条文和安全监管规定不得分，每有一项不符合相关标准中“应”的规定扣 5 分；</w:t>
            </w:r>
          </w:p>
          <w:p>
            <w:pPr>
              <w:ind w:firstLine="0" w:firstLineChars="0"/>
            </w:pPr>
            <w:r>
              <w:rPr>
                <w:rFonts w:hint="eastAsia"/>
              </w:rPr>
              <w:t>b)储存库没有实行人防、物防、技防、犬防的此项不得分，有实行但有不符合标准要求的一处扣5分。</w:t>
            </w:r>
          </w:p>
          <w:p>
            <w:pPr>
              <w:ind w:firstLine="0" w:firstLineChars="0"/>
            </w:pPr>
            <w:r>
              <w:rPr>
                <w:rFonts w:hint="eastAsia"/>
              </w:rPr>
              <w:t>c)没有储存库安全评价报告或报告过期的此项不得分。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50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4.2民爆物品购买</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a）民爆物品应办理审批手续后持《购买证》购买，并按《运输证》或《民用爆炸物品电子运输单》指定线路运输。</w:t>
            </w:r>
          </w:p>
          <w:p>
            <w:pPr>
              <w:ind w:firstLine="0" w:firstLineChars="0"/>
            </w:pPr>
            <w:r>
              <w:rPr>
                <w:rFonts w:hint="eastAsia"/>
              </w:rPr>
              <w:t>b）民爆物品运达目的地后，收货单位应指派专人领取，认真检查民爆物品的包装、数量和质量，发现包装破损或数量与质量不符的，应立即报告有关部门。</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 民爆物品购买未办理审批手续或未按制定线路运输的此项不得分。</w:t>
            </w:r>
          </w:p>
          <w:p>
            <w:pPr>
              <w:ind w:firstLine="0" w:firstLineChars="0"/>
            </w:pPr>
            <w:r>
              <w:rPr>
                <w:rFonts w:hint="eastAsia"/>
              </w:rPr>
              <w:t>b) 民爆物品领取、检查过程不符合要求的，每项扣5分。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lang w:val="en-US" w:eastAsia="zh-CN"/>
              </w:rPr>
              <w:t>2</w:t>
            </w:r>
            <w:r>
              <w:rPr>
                <w:rFonts w:hint="eastAsia"/>
                <w:sz w:val="24"/>
              </w:rPr>
              <w:t>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4.3民爆物品储存管理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a）建立严格的民爆物品仓库储存管理制度；</w:t>
            </w:r>
          </w:p>
          <w:p>
            <w:pPr>
              <w:ind w:firstLine="0" w:firstLineChars="0"/>
            </w:pPr>
            <w:r>
              <w:rPr>
                <w:rFonts w:hint="eastAsia"/>
              </w:rPr>
              <w:t>b）库房储存量不超过爆破作业单位许可证的许可存量，且符合GA838-2009或GB6722-2014 的要求；</w:t>
            </w:r>
          </w:p>
          <w:p>
            <w:pPr>
              <w:ind w:firstLine="0" w:firstLineChars="0"/>
            </w:pPr>
            <w:r>
              <w:rPr>
                <w:rFonts w:hint="eastAsia"/>
              </w:rPr>
              <w:t>c）民爆物品的同库存放、堆放、出入库和管理应符合GA838-2009或GB6722-2014 的要求，每堆产品应挂牌标识产品名称及数量，账物卡相符；</w:t>
            </w:r>
          </w:p>
          <w:p>
            <w:pPr>
              <w:ind w:firstLine="0" w:firstLineChars="0"/>
              <w:rPr>
                <w:rFonts w:hint="eastAsia" w:eastAsia="宋体"/>
                <w:lang w:eastAsia="zh-CN"/>
              </w:rPr>
            </w:pPr>
            <w:r>
              <w:rPr>
                <w:rFonts w:hint="eastAsia"/>
              </w:rPr>
              <w:t>d）成品库内严禁同库存放</w:t>
            </w:r>
            <w:r>
              <w:rPr>
                <w:rFonts w:hint="eastAsia"/>
                <w:lang w:val="en-US" w:eastAsia="zh-CN"/>
              </w:rPr>
              <w:t>性质相抵的民爆物品或</w:t>
            </w:r>
            <w:r>
              <w:rPr>
                <w:rFonts w:hint="eastAsia"/>
              </w:rPr>
              <w:t>过期产品等，库房内无杂物</w:t>
            </w:r>
            <w:r>
              <w:rPr>
                <w:rFonts w:hint="eastAsia"/>
                <w:lang w:eastAsia="zh-CN"/>
              </w:rPr>
              <w:t>；</w:t>
            </w:r>
          </w:p>
          <w:p>
            <w:pPr>
              <w:ind w:firstLine="0" w:firstLineChars="0"/>
            </w:pPr>
            <w:r>
              <w:rPr>
                <w:rFonts w:hint="eastAsia"/>
              </w:rPr>
              <w:t>e）租用仓库或出租仓库或共用同一库区应符合相关规定并签订安全管理协议，明确各安全责任。</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a）未建立仓库储存管理制度不得分，制度内容不符合标准要求扣 5 分；</w:t>
            </w:r>
          </w:p>
          <w:p>
            <w:pPr>
              <w:ind w:firstLine="0" w:firstLineChars="0"/>
            </w:pPr>
            <w:r>
              <w:rPr>
                <w:rFonts w:hint="eastAsia"/>
              </w:rPr>
              <w:t>b）超量储存不得分；</w:t>
            </w:r>
          </w:p>
          <w:p>
            <w:pPr>
              <w:ind w:firstLine="0" w:firstLineChars="0"/>
            </w:pPr>
            <w:r>
              <w:rPr>
                <w:rFonts w:hint="eastAsia"/>
              </w:rPr>
              <w:t>c）同库存放、堆放、出入库和管理不符合要求或账物卡不符每有一项扣 3 分；</w:t>
            </w:r>
          </w:p>
          <w:p>
            <w:pPr>
              <w:ind w:firstLine="0" w:firstLineChars="0"/>
            </w:pPr>
            <w:r>
              <w:rPr>
                <w:rFonts w:hint="eastAsia"/>
              </w:rPr>
              <w:t>d）发现库内存放</w:t>
            </w:r>
            <w:r>
              <w:rPr>
                <w:rFonts w:hint="eastAsia"/>
                <w:lang w:val="en-US" w:eastAsia="zh-CN"/>
              </w:rPr>
              <w:t>性质相抵的民爆物品或</w:t>
            </w:r>
            <w:r>
              <w:rPr>
                <w:rFonts w:hint="eastAsia"/>
              </w:rPr>
              <w:t>过期产品等不得分，有闲杂物品每有一个库房扣 3 分；</w:t>
            </w:r>
          </w:p>
          <w:p>
            <w:pPr>
              <w:ind w:firstLine="0" w:firstLineChars="0"/>
            </w:pPr>
            <w:r>
              <w:rPr>
                <w:rFonts w:hint="eastAsia"/>
              </w:rPr>
              <w:t>e）未按规定租用或出租仓库共用库区、无安全管理协议不得分。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20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4.4民爆物品装卸</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a）建立严格的民爆物品装卸管理制度；</w:t>
            </w:r>
          </w:p>
          <w:p>
            <w:pPr>
              <w:ind w:firstLine="0" w:firstLineChars="0"/>
            </w:pPr>
            <w:r>
              <w:rPr>
                <w:rFonts w:hint="eastAsia"/>
              </w:rPr>
              <w:t>b）制定装卸安全操作规程，其内容和管理应符合 GA838-2009和GB6722-2014的要求，现场无违章操作。</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a）未建立装卸管理制度不得分，制度内容不符合标准扣 5 分；</w:t>
            </w:r>
          </w:p>
          <w:p>
            <w:pPr>
              <w:ind w:firstLine="0" w:firstLineChars="0"/>
            </w:pPr>
            <w:r>
              <w:rPr>
                <w:rFonts w:hint="eastAsia"/>
              </w:rPr>
              <w:t>b）未制定安全操作规程不得分，规程内容不符合标准扣 5 分，发现违章操作不得分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10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4.5民爆物品运输</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a）建立严格的民爆物品运输管理制度；</w:t>
            </w:r>
          </w:p>
          <w:p>
            <w:pPr>
              <w:ind w:firstLine="0" w:firstLineChars="0"/>
            </w:pPr>
            <w:r>
              <w:rPr>
                <w:rFonts w:hint="eastAsia"/>
              </w:rPr>
              <w:t>b）制定运输安全操作规程，其内容和管理应符合GA838-2009和GB6722-2014的要求，现场无违章操作。</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a）未建立运输管理制度不得分，制度内容不符合标准要求扣 5 分；</w:t>
            </w:r>
          </w:p>
          <w:p>
            <w:pPr>
              <w:ind w:firstLine="0" w:firstLineChars="0"/>
            </w:pPr>
            <w:r>
              <w:rPr>
                <w:rFonts w:hint="eastAsia"/>
              </w:rPr>
              <w:t>b）未制定安全操作规程不得分，规程内容不符合标准扣 5 分，发现违章操作不得分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10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4.6民爆物品销毁</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a）建立严格的民爆物品销毁管理制度；</w:t>
            </w:r>
          </w:p>
          <w:p>
            <w:pPr>
              <w:ind w:firstLine="0" w:firstLineChars="0"/>
            </w:pPr>
            <w:r>
              <w:rPr>
                <w:rFonts w:hint="eastAsia"/>
              </w:rPr>
              <w:t>b）制定销毁安全技术操作规程，其内容和管理应符合 GB6722-2014 的要求，现场无违章操作；</w:t>
            </w:r>
          </w:p>
          <w:p>
            <w:pPr>
              <w:ind w:firstLine="0" w:firstLineChars="0"/>
            </w:pPr>
            <w:r>
              <w:rPr>
                <w:rFonts w:hint="eastAsia"/>
              </w:rPr>
              <w:t>c）建立完整的民爆物品销毁记录，每次销毁前后应清点民爆物品的数量，账物应一致，并由参与销毁的操作人员共同签字</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a）未建立销毁管理制度不得分，制度内容不符合要求扣5 分；</w:t>
            </w:r>
          </w:p>
          <w:p>
            <w:pPr>
              <w:ind w:firstLine="0" w:firstLineChars="0"/>
            </w:pPr>
            <w:r>
              <w:rPr>
                <w:rFonts w:hint="eastAsia"/>
              </w:rPr>
              <w:t>b）无安全技术操作规程不得分，规程内容不符合要求扣 5 分，发现违章操作不得分；</w:t>
            </w:r>
          </w:p>
          <w:p>
            <w:pPr>
              <w:ind w:firstLine="0" w:firstLineChars="0"/>
            </w:pPr>
            <w:r>
              <w:rPr>
                <w:rFonts w:hint="eastAsia"/>
              </w:rPr>
              <w:t>c）无销毁记录不得分，账物不一致或记录不规范扣 5 分，记录无签字不得分。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10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4.7民爆物品运输车辆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rPr>
              <w:t xml:space="preserve">民爆物品运输车应符合 WJ 9073 </w:t>
            </w:r>
            <w:r>
              <w:rPr>
                <w:rFonts w:hint="eastAsia"/>
                <w:lang w:eastAsia="zh-CN"/>
              </w:rPr>
              <w:t>或GB20300</w:t>
            </w:r>
            <w:r>
              <w:rPr>
                <w:rFonts w:hint="eastAsia"/>
              </w:rPr>
              <w:t>等标准的规定</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检查</w:t>
            </w:r>
            <w:r>
              <w:rPr>
                <w:rFonts w:hint="eastAsia"/>
                <w:lang w:eastAsia="zh-CN"/>
              </w:rPr>
              <w:t>企业</w:t>
            </w:r>
            <w:r>
              <w:rPr>
                <w:rFonts w:hint="eastAsia"/>
              </w:rPr>
              <w:t>所有</w:t>
            </w:r>
            <w:r>
              <w:rPr>
                <w:rFonts w:hint="eastAsia"/>
                <w:lang w:eastAsia="zh-CN"/>
              </w:rPr>
              <w:t>民爆</w:t>
            </w:r>
            <w:r>
              <w:rPr>
                <w:rFonts w:hint="eastAsia"/>
              </w:rPr>
              <w:t>物品运输车，每有一台车不符合标准扣 10 分。</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10</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562" w:hRule="atLeast"/>
        </w:trPr>
        <w:tc>
          <w:tcPr>
            <w:tcW w:w="14683" w:type="dxa"/>
            <w:gridSpan w:val="11"/>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ascii="宋体" w:hAnsi="宋体" w:cs="宋体"/>
                <w:b/>
                <w:kern w:val="0"/>
                <w:sz w:val="24"/>
              </w:rPr>
              <w:t>5 现场作业管理(2</w:t>
            </w:r>
            <w:r>
              <w:rPr>
                <w:rFonts w:hint="eastAsia" w:ascii="宋体" w:hAnsi="宋体" w:cs="宋体"/>
                <w:b/>
                <w:kern w:val="0"/>
                <w:sz w:val="24"/>
                <w:lang w:val="en-US" w:eastAsia="zh-CN"/>
              </w:rPr>
              <w:t>1</w:t>
            </w:r>
            <w:r>
              <w:rPr>
                <w:rFonts w:hint="eastAsia" w:ascii="宋体" w:hAnsi="宋体" w:cs="宋体"/>
                <w:b/>
                <w:kern w:val="0"/>
                <w:sz w:val="24"/>
              </w:rPr>
              <w:t>5分)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trHeight w:val="540"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Arial" w:hAnsi="Arial" w:cs="Arial"/>
                <w:kern w:val="0"/>
                <w:szCs w:val="21"/>
              </w:rPr>
            </w:pPr>
            <w:r>
              <w:rPr>
                <w:rFonts w:hint="eastAsia"/>
                <w:sz w:val="24"/>
              </w:rPr>
              <w:t>应得分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trHeight w:val="740"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5.1作业条件管理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1</w:t>
            </w:r>
            <w:r>
              <w:rPr>
                <w:rFonts w:hint="eastAsia"/>
                <w:lang w:val="en-US" w:eastAsia="zh-CN"/>
              </w:rPr>
              <w:t>.</w:t>
            </w:r>
            <w:r>
              <w:rPr>
                <w:rFonts w:hint="eastAsia"/>
              </w:rPr>
              <w:t>应具有有关部门出具的合法</w:t>
            </w:r>
            <w:r>
              <w:rPr>
                <w:rFonts w:hint="eastAsia"/>
                <w:lang w:eastAsia="zh-CN"/>
              </w:rPr>
              <w:t>性材料</w:t>
            </w:r>
            <w:r>
              <w:rPr>
                <w:rFonts w:hint="eastAsia"/>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lang w:eastAsia="zh-CN"/>
              </w:rPr>
              <w:t>爆破作业单位</w:t>
            </w:r>
            <w:r>
              <w:rPr>
                <w:rFonts w:hint="eastAsia"/>
              </w:rPr>
              <w:t>无合法手续文件的此项不得分。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15</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57"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default" w:eastAsia="宋体"/>
                <w:lang w:val="en-US" w:eastAsia="zh-CN"/>
              </w:rPr>
            </w:pPr>
            <w:r>
              <w:rPr>
                <w:rFonts w:hint="eastAsia"/>
                <w:lang w:val="en-US" w:eastAsia="zh-CN"/>
              </w:rPr>
              <w:t>2.城市、风景名胜区和重要工程设施附近实施的爆破作业项目在审批前应由公安机关组织警务技术评估。</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default" w:eastAsia="宋体"/>
                <w:lang w:val="en-US" w:eastAsia="zh-CN"/>
              </w:rPr>
            </w:pPr>
            <w:r>
              <w:rPr>
                <w:rFonts w:hint="eastAsia"/>
                <w:lang w:eastAsia="zh-CN"/>
              </w:rPr>
              <w:t>发现</w:t>
            </w:r>
            <w:r>
              <w:rPr>
                <w:rFonts w:hint="eastAsia"/>
                <w:lang w:val="en-US" w:eastAsia="zh-CN"/>
              </w:rPr>
              <w:t>城市、风景名胜区和重要工程设施附近实施的爆破作业项目在审批前</w:t>
            </w:r>
            <w:r>
              <w:rPr>
                <w:rFonts w:hint="eastAsia"/>
                <w:lang w:eastAsia="zh-CN"/>
              </w:rPr>
              <w:t>未组织警务技术评估的，此项不得分。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hint="default" w:ascii="Arial" w:hAnsi="Arial" w:eastAsia="宋体" w:cs="Arial"/>
                <w:kern w:val="0"/>
                <w:szCs w:val="21"/>
                <w:lang w:val="en-US" w:eastAsia="zh-CN"/>
              </w:rPr>
            </w:pPr>
            <w:r>
              <w:rPr>
                <w:rFonts w:hint="eastAsia" w:ascii="Arial" w:hAnsi="Arial" w:cs="Arial"/>
                <w:kern w:val="0"/>
                <w:szCs w:val="21"/>
                <w:lang w:val="en-US" w:eastAsia="zh-CN"/>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57"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3.承接矿山爆破作业项目的，</w:t>
            </w:r>
            <w:r>
              <w:rPr>
                <w:rFonts w:hint="eastAsia"/>
              </w:rPr>
              <w:t>甲乙双方应签订《外包工程安全生产管理协议》，并明确发包方与承包方各自承担的安全管理职责。</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rPr>
            </w:pPr>
            <w:r>
              <w:rPr>
                <w:rFonts w:hint="eastAsia"/>
              </w:rPr>
              <w:t>无《外包工程安全生产管理协议》的此项不得分，未明确双方承担的安全管理职责少一项扣2分。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ascii="Arial" w:hAnsi="Arial" w:cs="Arial"/>
                <w:kern w:val="0"/>
                <w:szCs w:val="21"/>
              </w:rPr>
              <w:t>1</w:t>
            </w:r>
            <w:r>
              <w:rPr>
                <w:rFonts w:hint="eastAsia" w:ascii="Arial" w:hAnsi="Arial" w:cs="Arial"/>
                <w:kern w:val="0"/>
                <w:szCs w:val="21"/>
              </w:rPr>
              <w:t>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2952"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5.2设备设施管理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1.</w:t>
            </w:r>
            <w:r>
              <w:rPr>
                <w:rFonts w:hint="eastAsia"/>
              </w:rPr>
              <w:t>对设备设施进行验收、检维修等：</w:t>
            </w:r>
          </w:p>
          <w:p>
            <w:pPr>
              <w:ind w:firstLine="0" w:firstLineChars="0"/>
            </w:pPr>
            <w:r>
              <w:rPr>
                <w:rFonts w:hint="eastAsia"/>
              </w:rPr>
              <w:t>a）应建立设备设施管理台账，收集整理设备、设施的生产许可证、产品合格证、检验证书、维修记录等。</w:t>
            </w:r>
          </w:p>
          <w:p>
            <w:pPr>
              <w:ind w:firstLine="0" w:firstLineChars="0"/>
            </w:pPr>
            <w:r>
              <w:rPr>
                <w:rFonts w:hint="eastAsia"/>
              </w:rPr>
              <w:t>b）定期对设备设施进行检维修，建立日常维保记录。</w:t>
            </w:r>
          </w:p>
          <w:p>
            <w:pPr>
              <w:ind w:firstLine="0" w:firstLineChars="0"/>
            </w:pPr>
            <w:r>
              <w:rPr>
                <w:rFonts w:hint="eastAsia"/>
              </w:rPr>
              <w:t>c）设备设施必须按出厂使用说明书规定的技术性能、承载能力和使用条件，正确操作，合理使用，严禁超载、超速作业或任意扩大使用范围。。</w:t>
            </w:r>
          </w:p>
          <w:p>
            <w:pPr>
              <w:ind w:firstLine="0" w:firstLineChars="0"/>
            </w:pPr>
            <w:r>
              <w:rPr>
                <w:rFonts w:hint="eastAsia"/>
              </w:rPr>
              <w:t>d）设备设施上的各种安全防护和保险装置及各种安全信息装置必须齐全有效。</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a）未建立设备设施管理台账的扣10分，证书不齐全的每处扣2分。</w:t>
            </w:r>
          </w:p>
          <w:p>
            <w:pPr>
              <w:ind w:firstLine="0" w:firstLineChars="0"/>
            </w:pPr>
            <w:r>
              <w:rPr>
                <w:rFonts w:hint="eastAsia"/>
              </w:rPr>
              <w:t>b）未建立设备设施日常维保记录档案的扣5分。</w:t>
            </w:r>
          </w:p>
          <w:p>
            <w:pPr>
              <w:ind w:firstLine="0" w:firstLineChars="0"/>
            </w:pPr>
            <w:r>
              <w:rPr>
                <w:rFonts w:hint="eastAsia"/>
              </w:rPr>
              <w:t>c）每违反设备操作使用的一项扣1分。</w:t>
            </w:r>
          </w:p>
          <w:p>
            <w:pPr>
              <w:ind w:firstLine="0" w:firstLineChars="0"/>
            </w:pPr>
            <w:r>
              <w:rPr>
                <w:rFonts w:hint="eastAsia"/>
              </w:rPr>
              <w:t>d）设备设施上的安装装置配备不齐或失效的，每少一项扣1分。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ascii="Arial" w:hAnsi="Arial" w:cs="Arial"/>
                <w:kern w:val="0"/>
                <w:szCs w:val="21"/>
              </w:rPr>
              <w:t>15分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p>
        </w:tc>
      </w:tr>
      <w:tr>
        <w:tblPrEx>
          <w:tblLayout w:type="fixed"/>
          <w:tblCellMar>
            <w:top w:w="0" w:type="dxa"/>
            <w:left w:w="108" w:type="dxa"/>
            <w:bottom w:w="0" w:type="dxa"/>
            <w:right w:w="108" w:type="dxa"/>
          </w:tblCellMar>
        </w:tblPrEx>
        <w:trPr>
          <w:trHeight w:val="449"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2.</w:t>
            </w:r>
            <w:r>
              <w:rPr>
                <w:rFonts w:hint="eastAsia"/>
              </w:rPr>
              <w:t>特种设备的检测检验：</w:t>
            </w:r>
          </w:p>
          <w:p>
            <w:pPr>
              <w:ind w:firstLine="0" w:firstLineChars="0"/>
            </w:pPr>
            <w:r>
              <w:rPr>
                <w:rFonts w:hint="eastAsia"/>
              </w:rPr>
              <w:t>a）特种设备应按照有关规定，委托具有专业资质的检查、检验机构进行定期检查、检验。</w:t>
            </w:r>
          </w:p>
          <w:p>
            <w:pPr>
              <w:ind w:firstLine="0" w:firstLineChars="0"/>
            </w:pPr>
            <w:r>
              <w:rPr>
                <w:rFonts w:hint="eastAsia"/>
              </w:rPr>
              <w:t>b）涉及人身安全、危险性较大的特种设备，应取得矿用产品安全标志或相关安全使用证。</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a）特种设备没有委托具有专业资质的检验机构进行定期检验的，每个设备扣2分。</w:t>
            </w:r>
          </w:p>
          <w:p>
            <w:pPr>
              <w:ind w:firstLine="0" w:firstLineChars="0"/>
            </w:pPr>
            <w:r>
              <w:rPr>
                <w:rFonts w:hint="eastAsia"/>
              </w:rPr>
              <w:t>b）</w:t>
            </w:r>
            <w:r>
              <w:rPr>
                <w:rFonts w:hint="eastAsia"/>
                <w:lang w:eastAsia="zh-CN"/>
              </w:rPr>
              <w:t>未</w:t>
            </w:r>
            <w:r>
              <w:rPr>
                <w:rFonts w:hint="eastAsia"/>
              </w:rPr>
              <w:t>取得矿用产品安全标志或相关安全使用证，每</w:t>
            </w:r>
            <w:r>
              <w:rPr>
                <w:rFonts w:hint="eastAsia"/>
                <w:lang w:eastAsia="zh-CN"/>
              </w:rPr>
              <w:t>台</w:t>
            </w:r>
            <w:r>
              <w:rPr>
                <w:rFonts w:hint="eastAsia"/>
              </w:rPr>
              <w:t>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ascii="Arial" w:hAnsi="Arial" w:cs="Arial"/>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3286"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5.3 爆破作业安全管理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1</w:t>
            </w:r>
            <w:r>
              <w:rPr>
                <w:rFonts w:hint="eastAsia"/>
                <w:lang w:val="en-US" w:eastAsia="zh-CN"/>
              </w:rPr>
              <w:t>.</w:t>
            </w:r>
            <w:r>
              <w:rPr>
                <w:rFonts w:hint="eastAsia"/>
              </w:rPr>
              <w:t>施工前应按规定发布爆破施工公告：</w:t>
            </w:r>
          </w:p>
          <w:p>
            <w:pPr>
              <w:numPr>
                <w:ilvl w:val="0"/>
                <w:numId w:val="4"/>
              </w:numPr>
              <w:ind w:firstLine="0" w:firstLineChars="0"/>
            </w:pPr>
            <w:r>
              <w:rPr>
                <w:rFonts w:hint="eastAsia"/>
              </w:rPr>
              <w:t>凡经公安机关审批的爆破作业项目，应于施工前3天发布公告，并在作业地点张贴，施工公告内容应包括：爆破作业项目名称、委托单位、设计施工单位、安全评估单位、安全监理单位、爆破作业时限等。</w:t>
            </w:r>
          </w:p>
          <w:p>
            <w:pPr>
              <w:ind w:firstLine="0" w:firstLineChars="0"/>
            </w:pPr>
            <w:r>
              <w:rPr>
                <w:rFonts w:hint="eastAsia"/>
              </w:rPr>
              <w:t>b）装药前1天应发布爆破公告并在现场张贴，内容包括：爆破地点、每次爆破时间、安全警戒范围、警戒标识、起爆信号等。</w:t>
            </w:r>
          </w:p>
          <w:p>
            <w:pPr>
              <w:ind w:firstLine="0" w:firstLineChars="0"/>
            </w:pPr>
            <w:r>
              <w:rPr>
                <w:rFonts w:hint="eastAsia"/>
              </w:rPr>
              <w:t>c）邻近交通要道或者通航水域进行爆破作业的，应按设计方案中要求落实相关安全措施，并提前3天向有关部门提交申请、发布通告。</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a）未发布施工公告的此项不得分，施工公告内容不完整的每少一项扣5分。</w:t>
            </w:r>
          </w:p>
          <w:p>
            <w:pPr>
              <w:ind w:firstLine="0" w:firstLineChars="0"/>
            </w:pPr>
            <w:r>
              <w:rPr>
                <w:rFonts w:hint="eastAsia"/>
              </w:rPr>
              <w:t>b）未发布爆破公告的此项不得分，爆破公告内容不完整的每少一项扣5分。</w:t>
            </w:r>
          </w:p>
          <w:p>
            <w:pPr>
              <w:ind w:firstLine="0" w:firstLineChars="0"/>
              <w:rPr>
                <w:rFonts w:hint="eastAsia"/>
              </w:rPr>
            </w:pPr>
            <w:r>
              <w:rPr>
                <w:rFonts w:hint="eastAsia"/>
              </w:rPr>
              <w:t>c）邻近交通要道或者通航水域进行爆破作业未向有关部门提交申请、发布通告的此项不得分。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10</w:t>
            </w:r>
            <w:r>
              <w:rPr>
                <w:rFonts w:ascii="Arial" w:hAnsi="Arial" w:cs="Arial"/>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706"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2</w:t>
            </w:r>
            <w:r>
              <w:rPr>
                <w:rFonts w:hint="eastAsia"/>
                <w:lang w:val="en-US" w:eastAsia="zh-CN"/>
              </w:rPr>
              <w:t>.</w:t>
            </w:r>
            <w:r>
              <w:rPr>
                <w:rFonts w:hint="eastAsia"/>
              </w:rPr>
              <w:t>严格按照爆破设计方案进行施工作业：</w:t>
            </w:r>
          </w:p>
          <w:p>
            <w:pPr>
              <w:ind w:firstLine="0" w:firstLineChars="0"/>
            </w:pPr>
            <w:r>
              <w:rPr>
                <w:rFonts w:hint="eastAsia"/>
              </w:rPr>
              <w:t>a）严格按照方案施工。</w:t>
            </w:r>
          </w:p>
          <w:p>
            <w:pPr>
              <w:ind w:firstLine="0" w:firstLineChars="0"/>
            </w:pPr>
            <w:r>
              <w:rPr>
                <w:rFonts w:hint="eastAsia"/>
              </w:rPr>
              <w:t>b）方案审批流程应符合相关规定要求。</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a）未按照方案施工的，每处扣10分。</w:t>
            </w:r>
          </w:p>
          <w:p>
            <w:pPr>
              <w:ind w:firstLine="0" w:firstLineChars="0"/>
            </w:pPr>
            <w:r>
              <w:rPr>
                <w:rFonts w:hint="eastAsia"/>
              </w:rPr>
              <w:t>b）方案审批流程不符合相关规定要求的此项不得分。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Arial" w:hAnsi="Arial" w:cs="Arial"/>
                <w:kern w:val="0"/>
                <w:szCs w:val="21"/>
              </w:rPr>
              <w:t>2</w:t>
            </w:r>
            <w:r>
              <w:rPr>
                <w:rFonts w:ascii="Arial" w:hAnsi="Arial" w:cs="Arial"/>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976"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3</w:t>
            </w:r>
            <w:r>
              <w:rPr>
                <w:rFonts w:hint="eastAsia"/>
                <w:lang w:val="en-US" w:eastAsia="zh-CN"/>
              </w:rPr>
              <w:t>.</w:t>
            </w:r>
            <w:r>
              <w:rPr>
                <w:rFonts w:hint="eastAsia"/>
              </w:rPr>
              <w:t>进行爆破作业施工前应对作业人员进行技术交底：</w:t>
            </w:r>
          </w:p>
          <w:p>
            <w:pPr>
              <w:ind w:firstLine="0" w:firstLineChars="0"/>
            </w:pPr>
            <w:r>
              <w:rPr>
                <w:rFonts w:hint="eastAsia"/>
              </w:rPr>
              <w:t>a）有交底记录。</w:t>
            </w:r>
          </w:p>
          <w:p>
            <w:pPr>
              <w:ind w:firstLine="0" w:firstLineChars="0"/>
            </w:pPr>
            <w:r>
              <w:rPr>
                <w:rFonts w:hint="eastAsia"/>
              </w:rPr>
              <w:t>b）编制的技术交底符合实际，可以指导现场施工。</w:t>
            </w:r>
          </w:p>
          <w:p>
            <w:pPr>
              <w:ind w:firstLine="0" w:firstLineChars="0"/>
            </w:pPr>
            <w:r>
              <w:rPr>
                <w:rFonts w:hint="eastAsia"/>
              </w:rPr>
              <w:t>c）作业人员应熟练掌握本岗位安全职责、安全生产和职业卫生操作规程、安全风险及管控措施、防护用品使用、自救互救及应急处置措施。</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a）无交底记录的此项不得分。</w:t>
            </w:r>
          </w:p>
          <w:p>
            <w:pPr>
              <w:ind w:firstLine="0" w:firstLineChars="0"/>
            </w:pPr>
            <w:r>
              <w:rPr>
                <w:rFonts w:hint="eastAsia"/>
              </w:rPr>
              <w:t>b）编制的技术交底不符合实际，无法指导现场施工的，每次扣10分。</w:t>
            </w:r>
          </w:p>
          <w:p>
            <w:pPr>
              <w:ind w:firstLine="0" w:firstLineChars="0"/>
            </w:pPr>
            <w:r>
              <w:rPr>
                <w:rFonts w:hint="eastAsia"/>
              </w:rPr>
              <w:t>c）抽查现场作业人员3~5人，不了解的每人每处扣2分。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976"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4</w:t>
            </w:r>
            <w:r>
              <w:rPr>
                <w:rFonts w:hint="eastAsia"/>
                <w:lang w:val="en-US" w:eastAsia="zh-CN"/>
              </w:rPr>
              <w:t>.</w:t>
            </w:r>
            <w:r>
              <w:rPr>
                <w:rFonts w:hint="eastAsia"/>
              </w:rPr>
              <w:t>装药、爆破作业时应采取封闭式施工：</w:t>
            </w:r>
          </w:p>
          <w:p>
            <w:pPr>
              <w:numPr>
                <w:ilvl w:val="0"/>
                <w:numId w:val="5"/>
              </w:numPr>
              <w:ind w:firstLine="0" w:firstLineChars="0"/>
            </w:pPr>
            <w:r>
              <w:rPr>
                <w:rFonts w:hint="eastAsia"/>
              </w:rPr>
              <w:t>拆除爆破应采用封闭式施工，围挡爆破作业地段。</w:t>
            </w:r>
          </w:p>
          <w:p>
            <w:pPr>
              <w:ind w:firstLine="0" w:firstLineChars="0"/>
            </w:pPr>
            <w:r>
              <w:rPr>
                <w:rFonts w:hint="eastAsia"/>
              </w:rPr>
              <w:t>b）作业区有相应的工作标志、安全警示标志</w:t>
            </w:r>
            <w:r>
              <w:rPr>
                <w:rFonts w:hint="eastAsia"/>
                <w:lang w:eastAsia="zh-CN"/>
              </w:rPr>
              <w:t>，</w:t>
            </w:r>
            <w:r>
              <w:rPr>
                <w:rFonts w:hint="eastAsia"/>
              </w:rPr>
              <w:t>拆除爆破</w:t>
            </w:r>
            <w:r>
              <w:rPr>
                <w:rFonts w:hint="eastAsia"/>
                <w:lang w:eastAsia="zh-CN"/>
              </w:rPr>
              <w:t>应有</w:t>
            </w:r>
            <w:r>
              <w:rPr>
                <w:rFonts w:hint="eastAsia"/>
              </w:rPr>
              <w:t>防护屏障。</w:t>
            </w:r>
          </w:p>
          <w:p>
            <w:pPr>
              <w:ind w:firstLine="0" w:firstLineChars="0"/>
            </w:pPr>
            <w:r>
              <w:rPr>
                <w:rFonts w:hint="eastAsia"/>
              </w:rPr>
              <w:t>c）起爆前，作业现场应设置警戒范围，安全警戒人员必须持有警戒旗帜、哨器和对讲机等。</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a）未采取封闭、围挡的扣10分。</w:t>
            </w:r>
          </w:p>
          <w:p>
            <w:pPr>
              <w:ind w:firstLine="0" w:firstLineChars="0"/>
            </w:pPr>
            <w:r>
              <w:rPr>
                <w:rFonts w:hint="eastAsia"/>
              </w:rPr>
              <w:t>b）作业区每少一项工作标志、安全警示标志及防护屏障，一处扣5分。</w:t>
            </w:r>
          </w:p>
          <w:p>
            <w:pPr>
              <w:ind w:firstLine="0" w:firstLineChars="0"/>
            </w:pPr>
            <w:r>
              <w:rPr>
                <w:rFonts w:hint="eastAsia"/>
              </w:rPr>
              <w:t>c）未设置警戒范围的此项不得分，有设置警戒但人数不足或者警戒器具不够的，每项扣5分。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lang w:val="en-US" w:eastAsia="zh-CN"/>
              </w:rPr>
              <w:t>10</w:t>
            </w:r>
            <w:r>
              <w:rPr>
                <w:rFonts w:hint="eastAsia" w:ascii="宋体" w:hAnsi="宋体" w:cs="宋体"/>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438"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5</w:t>
            </w:r>
            <w:r>
              <w:rPr>
                <w:rFonts w:hint="eastAsia"/>
                <w:lang w:val="en-US" w:eastAsia="zh-CN"/>
              </w:rPr>
              <w:t>.</w:t>
            </w:r>
            <w:r>
              <w:rPr>
                <w:rFonts w:hint="eastAsia"/>
              </w:rPr>
              <w:t>实施作业过程信息化管理：</w:t>
            </w:r>
          </w:p>
          <w:p>
            <w:pPr>
              <w:ind w:firstLine="0" w:firstLineChars="0"/>
            </w:pPr>
            <w:r>
              <w:rPr>
                <w:rFonts w:hint="eastAsia"/>
              </w:rPr>
              <w:t>a）按照《福建省民爆物品“一体化”安全监管信息平台建设应用工作方案》要求，爆破作业现场设置“一体化”视频采集设备，并将相关视频数据上传至汇聚平台。</w:t>
            </w:r>
          </w:p>
          <w:p>
            <w:pPr>
              <w:ind w:firstLine="0" w:firstLineChars="0"/>
            </w:pPr>
            <w:r>
              <w:rPr>
                <w:rFonts w:hint="eastAsia"/>
              </w:rPr>
              <w:t>b）视频采集应包含从卸货清点至起爆完成全过程。</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a）未落实的此项不得分。</w:t>
            </w:r>
          </w:p>
          <w:p>
            <w:pPr>
              <w:ind w:firstLine="0" w:firstLineChars="0"/>
            </w:pPr>
            <w:r>
              <w:rPr>
                <w:rFonts w:hint="eastAsia"/>
              </w:rPr>
              <w:t>b）视频采集不齐全扣5分。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61"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6</w:t>
            </w:r>
            <w:r>
              <w:rPr>
                <w:rFonts w:hint="eastAsia"/>
                <w:lang w:val="en-US" w:eastAsia="zh-CN"/>
              </w:rPr>
              <w:t>.</w:t>
            </w:r>
            <w:r>
              <w:rPr>
                <w:rFonts w:hint="eastAsia"/>
              </w:rPr>
              <w:t>爆破作业人员及安全监理人员在岗在位并在登记簿上签名。</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a）发现作业人员不在位的每人每次扣5分。</w:t>
            </w:r>
          </w:p>
          <w:p>
            <w:pPr>
              <w:ind w:firstLine="0" w:firstLineChars="0"/>
            </w:pPr>
            <w:r>
              <w:rPr>
                <w:rFonts w:hint="eastAsia"/>
              </w:rPr>
              <w:t>b）登记簿上无相关人员签名或代签的每人每次扣5分。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274"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7</w:t>
            </w:r>
            <w:r>
              <w:rPr>
                <w:rFonts w:hint="eastAsia"/>
                <w:lang w:val="en-US" w:eastAsia="zh-CN"/>
              </w:rPr>
              <w:t>.</w:t>
            </w:r>
            <w:r>
              <w:rPr>
                <w:rFonts w:hint="eastAsia"/>
              </w:rPr>
              <w:t>作业现场的民爆物品管理：</w:t>
            </w:r>
          </w:p>
          <w:p>
            <w:pPr>
              <w:ind w:firstLine="0" w:firstLineChars="0"/>
            </w:pPr>
            <w:r>
              <w:rPr>
                <w:rFonts w:hint="eastAsia"/>
              </w:rPr>
              <w:t>a）在爆破作业现场临时存放民爆物品的，应选择在安全地点并与装药点保持安全距离，且周边50米范围内严禁烟火。</w:t>
            </w:r>
          </w:p>
          <w:p>
            <w:pPr>
              <w:ind w:firstLine="0" w:firstLineChars="0"/>
            </w:pPr>
            <w:r>
              <w:rPr>
                <w:rFonts w:hint="eastAsia"/>
              </w:rPr>
              <w:t>b）存放点应设置醒目标志，并有专人管理、看护。</w:t>
            </w:r>
          </w:p>
          <w:p>
            <w:pPr>
              <w:ind w:firstLine="0" w:firstLineChars="0"/>
            </w:pPr>
            <w:r>
              <w:rPr>
                <w:rFonts w:hint="eastAsia"/>
              </w:rPr>
              <w:t>c）炸药与雷管不得混放，露天存放时安全距离不应少于25米。</w:t>
            </w:r>
          </w:p>
          <w:p>
            <w:pPr>
              <w:ind w:firstLine="0" w:firstLineChars="0"/>
            </w:pPr>
            <w:r>
              <w:rPr>
                <w:rFonts w:hint="eastAsia"/>
              </w:rPr>
              <w:t>d）领用、发放民爆物品应由持证作业人员进行，不得由无证人员领用、发放民爆物品。</w:t>
            </w:r>
          </w:p>
          <w:p>
            <w:pPr>
              <w:ind w:firstLine="0" w:firstLineChars="0"/>
            </w:pPr>
            <w:r>
              <w:rPr>
                <w:rFonts w:hint="eastAsia"/>
              </w:rPr>
              <w:t>e）民爆物品运至爆破作业现场起，除爆破工程技术人员、爆破作业人员外，其他人员一律不得进入安全警戒区域从事搬运、拆箱、装药、网路连接等工作。</w:t>
            </w:r>
          </w:p>
          <w:p>
            <w:pPr>
              <w:ind w:firstLine="0" w:firstLineChars="0"/>
            </w:pPr>
            <w:r>
              <w:rPr>
                <w:rFonts w:hint="eastAsia"/>
              </w:rPr>
              <w:t>f）应当如实记载领取、发放民爆物品的品种、数量、编号以及领取、发放人员姓名。领取民爆物品的数量不得超过当班用量。领取及发放原始记录保存2年备查。</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a）在爆破作业现场临时存放民爆物品不符合要求的扣10分。</w:t>
            </w:r>
          </w:p>
          <w:p>
            <w:pPr>
              <w:ind w:firstLine="0" w:firstLineChars="0"/>
            </w:pPr>
            <w:r>
              <w:rPr>
                <w:rFonts w:hint="eastAsia"/>
              </w:rPr>
              <w:t>b）存放点无专人看管的扣5分。</w:t>
            </w:r>
          </w:p>
          <w:p>
            <w:pPr>
              <w:ind w:firstLine="0" w:firstLineChars="0"/>
            </w:pPr>
            <w:r>
              <w:rPr>
                <w:rFonts w:hint="eastAsia"/>
              </w:rPr>
              <w:t>c）炸药、雷管堆放不符合要求的扣10分。</w:t>
            </w:r>
          </w:p>
          <w:p>
            <w:pPr>
              <w:ind w:firstLine="0" w:firstLineChars="0"/>
            </w:pPr>
            <w:r>
              <w:rPr>
                <w:rFonts w:hint="eastAsia"/>
              </w:rPr>
              <w:t>d）领用、发放民爆物品，出现违规违法情况的不得分。</w:t>
            </w:r>
          </w:p>
          <w:p>
            <w:pPr>
              <w:ind w:firstLine="0" w:firstLineChars="0"/>
            </w:pPr>
            <w:r>
              <w:rPr>
                <w:rFonts w:hint="eastAsia"/>
              </w:rPr>
              <w:t>e）民爆物品运至爆破作业现场后，人员管理不符合要求的扣10分。</w:t>
            </w:r>
          </w:p>
          <w:p>
            <w:pPr>
              <w:ind w:firstLine="0" w:firstLineChars="0"/>
            </w:pPr>
            <w:r>
              <w:rPr>
                <w:rFonts w:hint="eastAsia"/>
              </w:rPr>
              <w:t>f）领取、发放民爆物品登记记录不符合、记录保存不符合的不得分。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20分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302"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8</w:t>
            </w:r>
            <w:r>
              <w:rPr>
                <w:rFonts w:hint="eastAsia"/>
                <w:lang w:val="en-US" w:eastAsia="zh-CN"/>
              </w:rPr>
              <w:t>.</w:t>
            </w:r>
            <w:r>
              <w:rPr>
                <w:rFonts w:hint="eastAsia"/>
              </w:rPr>
              <w:t>作业结束后应进行检查：</w:t>
            </w:r>
          </w:p>
          <w:p>
            <w:pPr>
              <w:numPr>
                <w:ilvl w:val="0"/>
                <w:numId w:val="6"/>
              </w:numPr>
              <w:ind w:firstLine="0" w:firstLineChars="0"/>
            </w:pPr>
            <w:r>
              <w:rPr>
                <w:rFonts w:hint="eastAsia"/>
              </w:rPr>
              <w:t>露天爆破，爆后应超过5min方准许检查人员进入爆破作业地点；地下工程爆破后，经通风除尘排烟确认井下空气合格、等待时间超过15min后，方准许检查人员进入爆破作业地点。如不能确认有无盲炮，应经15min后才能进入爆区检查。</w:t>
            </w:r>
          </w:p>
          <w:p>
            <w:pPr>
              <w:ind w:firstLine="0" w:firstLineChars="0"/>
            </w:pPr>
            <w:r>
              <w:rPr>
                <w:rFonts w:hint="eastAsia"/>
              </w:rPr>
              <w:t>b）爆破经检查确认爆破点安全后，经当班爆破班长同意，方准许作业人员进入爆区。</w:t>
            </w:r>
          </w:p>
          <w:p>
            <w:pPr>
              <w:ind w:firstLine="0" w:firstLineChars="0"/>
            </w:pPr>
            <w:r>
              <w:rPr>
                <w:rFonts w:hint="eastAsia"/>
              </w:rPr>
              <w:t>c）爆破后应检查确认有无盲炮，露天爆破爆堆是否稳定，地下爆破有无瓦斯及地下水突出、有无冒顶、危岩，支撑是否破坏，有害气体是否排除，爆破警戒区内公用设施及重点保护建(构)筑物安全情况等。</w:t>
            </w:r>
          </w:p>
          <w:p>
            <w:pPr>
              <w:ind w:firstLine="0" w:firstLineChars="0"/>
            </w:pPr>
            <w:r>
              <w:rPr>
                <w:rFonts w:hint="eastAsia"/>
              </w:rPr>
              <w:t>d）A、B级及复杂环境的爆后检查应由技术负责人和有经验的爆破员、安全员组成检查小组实施。</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a）爆后未按规定时间就进入爆区检查的此项不得分。</w:t>
            </w:r>
          </w:p>
          <w:p>
            <w:pPr>
              <w:ind w:firstLine="0" w:firstLineChars="0"/>
            </w:pPr>
            <w:r>
              <w:rPr>
                <w:rFonts w:hint="eastAsia"/>
              </w:rPr>
              <w:t>b）未经当班爆破班长同意，作业人员就进入爆区的此项不得分。</w:t>
            </w:r>
          </w:p>
          <w:p>
            <w:pPr>
              <w:ind w:firstLine="0" w:firstLineChars="0"/>
            </w:pPr>
            <w:r>
              <w:rPr>
                <w:rFonts w:hint="eastAsia"/>
              </w:rPr>
              <w:t>c）爆破后未检查确认安全情况的此项不得分，每少一项扣5分。</w:t>
            </w:r>
          </w:p>
          <w:p>
            <w:pPr>
              <w:ind w:firstLine="0" w:firstLineChars="0"/>
            </w:pPr>
            <w:r>
              <w:rPr>
                <w:rFonts w:hint="eastAsia"/>
              </w:rPr>
              <w:t>d）A、B级及复杂环境的爆后检查小组不符合要求的此项不得分。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lang w:val="en-US" w:eastAsia="zh-CN"/>
              </w:rPr>
              <w:t>1</w:t>
            </w:r>
            <w:r>
              <w:rPr>
                <w:rFonts w:hint="eastAsia" w:ascii="宋体" w:hAnsi="宋体" w:cs="宋体"/>
                <w:kern w:val="0"/>
                <w:szCs w:val="21"/>
              </w:rPr>
              <w:t>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698"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right w:val="single" w:color="000000" w:sz="4" w:space="0"/>
            </w:tcBorders>
            <w:vAlign w:val="center"/>
          </w:tcPr>
          <w:p>
            <w:pPr>
              <w:ind w:firstLine="0" w:firstLineChars="0"/>
            </w:pPr>
            <w:r>
              <w:rPr>
                <w:rFonts w:hint="eastAsia"/>
              </w:rPr>
              <w:t>9</w:t>
            </w:r>
            <w:r>
              <w:rPr>
                <w:rFonts w:hint="eastAsia"/>
                <w:lang w:val="en-US" w:eastAsia="zh-CN"/>
              </w:rPr>
              <w:t>.当班爆破作业结束</w:t>
            </w:r>
            <w:r>
              <w:rPr>
                <w:rFonts w:hint="eastAsia"/>
              </w:rPr>
              <w:t>后及时向公安机关报告并清退剩余民爆物品。</w:t>
            </w:r>
          </w:p>
        </w:tc>
        <w:tc>
          <w:tcPr>
            <w:tcW w:w="4620" w:type="dxa"/>
            <w:gridSpan w:val="3"/>
            <w:tcBorders>
              <w:top w:val="single" w:color="000000" w:sz="4" w:space="0"/>
              <w:left w:val="single" w:color="000000" w:sz="4" w:space="0"/>
              <w:right w:val="single" w:color="000000" w:sz="4" w:space="0"/>
            </w:tcBorders>
            <w:vAlign w:val="center"/>
          </w:tcPr>
          <w:p>
            <w:pPr>
              <w:ind w:firstLine="0" w:firstLineChars="0"/>
            </w:pPr>
            <w:r>
              <w:rPr>
                <w:rFonts w:hint="eastAsia"/>
              </w:rPr>
              <w:t>a）应有</w:t>
            </w:r>
            <w:r>
              <w:rPr>
                <w:rFonts w:hint="eastAsia"/>
                <w:lang w:eastAsia="zh-CN"/>
              </w:rPr>
              <w:t>报告记录和</w:t>
            </w:r>
            <w:r>
              <w:rPr>
                <w:rFonts w:hint="eastAsia"/>
              </w:rPr>
              <w:t>清退记录，未能提供的此项不得分。</w:t>
            </w:r>
          </w:p>
          <w:p>
            <w:pPr>
              <w:ind w:firstLine="0" w:firstLineChars="0"/>
            </w:pPr>
            <w:r>
              <w:rPr>
                <w:rFonts w:hint="eastAsia"/>
              </w:rPr>
              <w:t>b）清退记录不规范或未办理《运输证》《民用爆炸物品电子运输单</w:t>
            </w:r>
            <w:r>
              <w:rPr>
                <w:rFonts w:hint="eastAsia"/>
                <w:lang w:eastAsia="zh-CN"/>
              </w:rPr>
              <w:t>》</w:t>
            </w:r>
            <w:r>
              <w:rPr>
                <w:rFonts w:hint="eastAsia"/>
              </w:rPr>
              <w:t>、未通过“一体化”平台备案清退剩余民爆物品的，每</w:t>
            </w:r>
            <w:r>
              <w:rPr>
                <w:rFonts w:hint="eastAsia"/>
                <w:lang w:eastAsia="zh-CN"/>
              </w:rPr>
              <w:t>次</w:t>
            </w:r>
            <w:r>
              <w:rPr>
                <w:rFonts w:hint="eastAsia"/>
              </w:rPr>
              <w:t>扣5分。</w:t>
            </w:r>
          </w:p>
        </w:tc>
        <w:tc>
          <w:tcPr>
            <w:tcW w:w="989" w:type="dxa"/>
            <w:tcBorders>
              <w:top w:val="single" w:color="000000" w:sz="4" w:space="0"/>
              <w:left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22" w:type="dxa"/>
            <w:tcBorders>
              <w:top w:val="single" w:color="000000" w:sz="4" w:space="0"/>
              <w:left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08"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5.4职业健康</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1</w:t>
            </w:r>
            <w:r>
              <w:rPr>
                <w:rFonts w:hint="eastAsia"/>
                <w:lang w:val="en-US" w:eastAsia="zh-CN"/>
              </w:rPr>
              <w:t>.</w:t>
            </w:r>
            <w:r>
              <w:rPr>
                <w:rFonts w:hint="eastAsia"/>
              </w:rPr>
              <w:t>制定职业危害防治计划和实施方案，建立、健全职业卫生档案和从业人员健康监护档案。</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a）未制定职业危害防治计划和方案的扣5分。</w:t>
            </w:r>
          </w:p>
          <w:p>
            <w:pPr>
              <w:ind w:firstLine="0" w:firstLineChars="0"/>
            </w:pPr>
            <w:r>
              <w:rPr>
                <w:rFonts w:hint="eastAsia"/>
              </w:rPr>
              <w:t>b）未建立健康监护档案的每人扣3分。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791"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2</w:t>
            </w:r>
            <w:r>
              <w:rPr>
                <w:rFonts w:hint="eastAsia"/>
                <w:lang w:val="en-US" w:eastAsia="zh-CN"/>
              </w:rPr>
              <w:t>.</w:t>
            </w:r>
            <w:r>
              <w:rPr>
                <w:rFonts w:hint="eastAsia"/>
              </w:rPr>
              <w:t>按规定为从业人员配备符合国家标准或行业标准的劳动防护用品。</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未配备的此项不得分。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65"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3</w:t>
            </w:r>
            <w:r>
              <w:rPr>
                <w:rFonts w:hint="eastAsia"/>
                <w:lang w:val="en-US" w:eastAsia="zh-CN"/>
              </w:rPr>
              <w:t>.</w:t>
            </w:r>
            <w:r>
              <w:rPr>
                <w:rFonts w:hint="eastAsia"/>
              </w:rPr>
              <w:t>从业人员按规定正确使用劳动防护用品。</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从业人员未按规定正确佩戴劳动防护用品的，发现一人次扣1分。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321"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4.</w:t>
            </w:r>
            <w:r>
              <w:rPr>
                <w:rFonts w:hint="eastAsia"/>
              </w:rPr>
              <w:t>职业危害告知：</w:t>
            </w:r>
          </w:p>
          <w:p>
            <w:pPr>
              <w:ind w:firstLine="0" w:firstLineChars="0"/>
            </w:pPr>
            <w:r>
              <w:rPr>
                <w:rFonts w:hint="eastAsia"/>
              </w:rPr>
              <w:t>a）企业应将工作过程中可能产生的职业病危害及其后果和防护措施如实告知从业人员。</w:t>
            </w:r>
          </w:p>
          <w:p>
            <w:pPr>
              <w:ind w:firstLine="0" w:firstLineChars="0"/>
            </w:pPr>
            <w:r>
              <w:rPr>
                <w:rFonts w:hint="eastAsia"/>
              </w:rPr>
              <w:t>b）企业应在醒目位置设置公告栏，公布有关职业病防治的规章制度、操作规程、职业病危害应急措施等。</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a）未告知的不得分。</w:t>
            </w:r>
          </w:p>
          <w:p>
            <w:pPr>
              <w:ind w:firstLine="0" w:firstLineChars="0"/>
            </w:pPr>
            <w:r>
              <w:rPr>
                <w:rFonts w:hint="eastAsia"/>
              </w:rPr>
              <w:t>b）企业未公布的扣5分，内容缺项的每少一项扣1分。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63"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5</w:t>
            </w:r>
            <w:r>
              <w:rPr>
                <w:rFonts w:hint="eastAsia"/>
                <w:lang w:val="en-US" w:eastAsia="zh-CN"/>
              </w:rPr>
              <w:t>.</w:t>
            </w:r>
            <w:r>
              <w:rPr>
                <w:rFonts w:hint="eastAsia"/>
              </w:rPr>
              <w:t>有防治职业危害的具体措施：防尘、防噪声、防高温、防毒、防辐射等。</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a）制定相关防治措施方案，每少一项扣2分。</w:t>
            </w:r>
          </w:p>
          <w:p>
            <w:pPr>
              <w:ind w:firstLine="0" w:firstLineChars="0"/>
            </w:pPr>
            <w:r>
              <w:rPr>
                <w:rFonts w:hint="eastAsia"/>
              </w:rPr>
              <w:t>b）有制定方案，但未落实的，每项扣1分。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69" w:hRule="atLeast"/>
        </w:trPr>
        <w:tc>
          <w:tcPr>
            <w:tcW w:w="1193" w:type="dxa"/>
            <w:tcBorders>
              <w:top w:val="nil"/>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5.5 警示标志</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企业应按照有关规定设置安全警示标志和职业病危害警示标识。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a）应在有危险源和职业病危害因素的场所设置警示标志，并对警示标志进行检查维护，确保其完好，未执行不得分。</w:t>
            </w:r>
          </w:p>
          <w:p>
            <w:pPr>
              <w:ind w:firstLine="0" w:firstLineChars="0"/>
            </w:pPr>
            <w:r>
              <w:rPr>
                <w:rFonts w:hint="eastAsia"/>
              </w:rPr>
              <w:t>b）应在作业现场设置警戒区域和警示标志，未设置不得分。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858"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5.6 钻爆一体化</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1</w:t>
            </w:r>
            <w:r>
              <w:rPr>
                <w:rFonts w:hint="eastAsia"/>
                <w:lang w:eastAsia="zh-CN"/>
              </w:rPr>
              <w:t>个爆破作业项目的钻孔和爆破应由具备项目相应资质等级的</w:t>
            </w:r>
            <w:r>
              <w:rPr>
                <w:rFonts w:hint="eastAsia"/>
                <w:lang w:val="en-US" w:eastAsia="zh-CN"/>
              </w:rPr>
              <w:t>1</w:t>
            </w:r>
            <w:r>
              <w:rPr>
                <w:rFonts w:hint="eastAsia"/>
                <w:lang w:eastAsia="zh-CN"/>
              </w:rPr>
              <w:t>家爆破作业单位一同接受委托并组织实施</w:t>
            </w:r>
            <w:r>
              <w:rPr>
                <w:rFonts w:hint="eastAsia"/>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lang w:eastAsia="zh-CN"/>
              </w:rPr>
            </w:pPr>
            <w:r>
              <w:rPr>
                <w:rFonts w:hint="eastAsia"/>
                <w:lang w:eastAsia="zh-CN"/>
              </w:rPr>
              <w:t>发现未落实“钻爆一体化”要求的本项不得分。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lang w:val="en-US" w:eastAsia="zh-CN"/>
              </w:rPr>
              <w:t>20</w:t>
            </w:r>
            <w:r>
              <w:rPr>
                <w:rFonts w:hint="eastAsia" w:ascii="宋体" w:hAnsi="宋体" w:cs="宋体"/>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p>
        </w:tc>
      </w:tr>
      <w:tr>
        <w:tblPrEx>
          <w:tblLayout w:type="fixed"/>
          <w:tblCellMar>
            <w:top w:w="0" w:type="dxa"/>
            <w:left w:w="108" w:type="dxa"/>
            <w:bottom w:w="0" w:type="dxa"/>
            <w:right w:w="108" w:type="dxa"/>
          </w:tblCellMar>
        </w:tblPrEx>
        <w:trPr>
          <w:trHeight w:val="589" w:hRule="atLeast"/>
        </w:trPr>
        <w:tc>
          <w:tcPr>
            <w:tcW w:w="14683" w:type="dxa"/>
            <w:gridSpan w:val="11"/>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ascii="宋体" w:hAnsi="宋体" w:cs="宋体"/>
                <w:b/>
                <w:kern w:val="0"/>
                <w:sz w:val="24"/>
              </w:rPr>
              <w:t>6 安全风险分级管控及隐患排查治理双重预防体系(</w:t>
            </w:r>
            <w:r>
              <w:rPr>
                <w:rFonts w:hint="eastAsia" w:ascii="宋体" w:hAnsi="宋体" w:cs="宋体"/>
                <w:b/>
                <w:kern w:val="0"/>
                <w:sz w:val="24"/>
                <w:lang w:val="en-US" w:eastAsia="zh-CN"/>
              </w:rPr>
              <w:t>115</w:t>
            </w:r>
            <w:r>
              <w:rPr>
                <w:rFonts w:hint="eastAsia" w:ascii="宋体" w:hAnsi="宋体" w:cs="宋体"/>
                <w:b/>
                <w:kern w:val="0"/>
                <w:sz w:val="24"/>
              </w:rPr>
              <w:t>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trHeight w:val="398"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kern w:val="0"/>
                <w:szCs w:val="21"/>
              </w:rPr>
            </w:pPr>
            <w:r>
              <w:rPr>
                <w:rFonts w:hint="eastAsia"/>
                <w:sz w:val="24"/>
              </w:rPr>
              <w:t>应得分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trHeight w:val="665"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6.1建立双重预防体系制度</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rPr>
              <w:t>1</w:t>
            </w:r>
            <w:r>
              <w:rPr>
                <w:rFonts w:hint="eastAsia"/>
                <w:lang w:val="en-US" w:eastAsia="zh-CN"/>
              </w:rPr>
              <w:t>.成立</w:t>
            </w:r>
            <w:r>
              <w:rPr>
                <w:rFonts w:hint="eastAsia"/>
              </w:rPr>
              <w:t>双重预防体系组织机构</w:t>
            </w:r>
            <w:r>
              <w:rPr>
                <w:rFonts w:hint="eastAsia"/>
                <w:lang w:eastAsia="zh-CN"/>
              </w:rPr>
              <w:t>并制定</w:t>
            </w:r>
            <w:r>
              <w:rPr>
                <w:rFonts w:hint="eastAsia"/>
              </w:rPr>
              <w:t>实施方案</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a）未成立双重预防建设组织机构</w:t>
            </w:r>
            <w:r>
              <w:rPr>
                <w:rFonts w:hint="eastAsia"/>
                <w:lang w:eastAsia="zh-CN"/>
              </w:rPr>
              <w:t>的</w:t>
            </w:r>
            <w:r>
              <w:rPr>
                <w:rFonts w:hint="eastAsia"/>
              </w:rPr>
              <w:t>扣3分。</w:t>
            </w:r>
          </w:p>
          <w:p>
            <w:pPr>
              <w:ind w:firstLine="0" w:firstLineChars="0"/>
            </w:pPr>
            <w:r>
              <w:rPr>
                <w:rFonts w:hint="eastAsia"/>
              </w:rPr>
              <w:t>b）</w:t>
            </w:r>
            <w:r>
              <w:rPr>
                <w:rFonts w:hint="eastAsia"/>
                <w:lang w:eastAsia="zh-CN"/>
              </w:rPr>
              <w:t>未制定</w:t>
            </w:r>
            <w:r>
              <w:rPr>
                <w:rFonts w:hint="eastAsia"/>
              </w:rPr>
              <w:t>双重预防体系建设实施方案</w:t>
            </w:r>
            <w:r>
              <w:rPr>
                <w:rFonts w:hint="eastAsia"/>
                <w:lang w:eastAsia="zh-CN"/>
              </w:rPr>
              <w:t>的此项</w:t>
            </w:r>
            <w:r>
              <w:rPr>
                <w:rFonts w:hint="eastAsia"/>
              </w:rPr>
              <w:t>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5分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648"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rPr>
              <w:t>2</w:t>
            </w:r>
            <w:r>
              <w:rPr>
                <w:rFonts w:hint="eastAsia"/>
                <w:lang w:val="en-US" w:eastAsia="zh-CN"/>
              </w:rPr>
              <w:t>.</w:t>
            </w:r>
            <w:r>
              <w:rPr>
                <w:rFonts w:hint="eastAsia"/>
              </w:rPr>
              <w:t>企业应建立健全双重预防机制建设责任制度、安全风险公示制度、风险分级管控管理制度、生产安全事故隐患排查治理管理制度、重大事故隐患报告制度、事故隐患举报奖励制度、风险分级管控和隐患排查治理体系考核奖惩制度等相关制度</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eastAsia="zh-CN"/>
              </w:rPr>
              <w:t>每</w:t>
            </w:r>
            <w:r>
              <w:rPr>
                <w:rFonts w:hint="eastAsia"/>
              </w:rPr>
              <w:t>缺一项制度扣1分。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lang w:val="en-US" w:eastAsia="zh-CN"/>
              </w:rPr>
              <w:t>10</w:t>
            </w:r>
            <w:r>
              <w:rPr>
                <w:rFonts w:hint="eastAsia" w:ascii="宋体" w:hAnsi="宋体" w:cs="宋体"/>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506"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6.2安全风险分级管控</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1.</w:t>
            </w:r>
            <w:r>
              <w:rPr>
                <w:rFonts w:hint="eastAsia"/>
              </w:rPr>
              <w:t>安全风险辨识：</w:t>
            </w:r>
          </w:p>
          <w:p>
            <w:pPr>
              <w:ind w:firstLine="0" w:firstLineChars="0"/>
            </w:pPr>
            <w:r>
              <w:rPr>
                <w:rFonts w:hint="eastAsia"/>
              </w:rPr>
              <w:t>a）企业应建立安全风险辨识管理制度。</w:t>
            </w:r>
          </w:p>
          <w:p>
            <w:pPr>
              <w:ind w:firstLine="0" w:firstLineChars="0"/>
            </w:pPr>
            <w:r>
              <w:rPr>
                <w:rFonts w:hint="eastAsia"/>
              </w:rPr>
              <w:t>b）</w:t>
            </w:r>
            <w:r>
              <w:rPr>
                <w:rFonts w:hint="eastAsia"/>
                <w:lang w:val="en-US" w:eastAsia="zh-CN"/>
              </w:rPr>
              <w:t>依据</w:t>
            </w:r>
            <w:r>
              <w:rPr>
                <w:rFonts w:hint="eastAsia"/>
              </w:rPr>
              <w:t>GB18218</w:t>
            </w:r>
            <w:r>
              <w:rPr>
                <w:rFonts w:hint="eastAsia"/>
                <w:lang w:eastAsia="zh-CN"/>
              </w:rPr>
              <w:t>、</w:t>
            </w:r>
            <w:r>
              <w:rPr>
                <w:rFonts w:hint="eastAsia"/>
              </w:rPr>
              <w:t>WJ/T9093</w:t>
            </w:r>
            <w:r>
              <w:rPr>
                <w:rFonts w:hint="eastAsia"/>
                <w:lang w:val="en-US" w:eastAsia="zh-CN"/>
              </w:rPr>
              <w:t>和</w:t>
            </w:r>
            <w:r>
              <w:rPr>
                <w:rFonts w:hint="eastAsia"/>
              </w:rPr>
              <w:t>WJ/T 9101-2022</w:t>
            </w:r>
            <w:r>
              <w:rPr>
                <w:rFonts w:hint="eastAsia"/>
                <w:lang w:eastAsia="zh-CN"/>
              </w:rPr>
              <w:t>，</w:t>
            </w:r>
            <w:r>
              <w:rPr>
                <w:rFonts w:hint="eastAsia"/>
              </w:rPr>
              <w:t>结合生产现场的现状，逐一辨识出可能导致GB6441中各类事故的危险有害因素</w:t>
            </w:r>
            <w:r>
              <w:rPr>
                <w:rFonts w:hint="eastAsia"/>
                <w:lang w:eastAsia="zh-CN"/>
              </w:rPr>
              <w:t>。</w:t>
            </w:r>
            <w:r>
              <w:rPr>
                <w:rFonts w:hint="eastAsia"/>
              </w:rPr>
              <w:t>按照GB/T13861进行分类，列出辨识结果，建立</w:t>
            </w:r>
            <w:r>
              <w:rPr>
                <w:rFonts w:hint="eastAsia"/>
                <w:lang w:val="en-US" w:eastAsia="zh-CN"/>
              </w:rPr>
              <w:t>风险点排查清单</w:t>
            </w:r>
            <w:r>
              <w:rPr>
                <w:rFonts w:hint="eastAsia"/>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a）未建立安全风险辨识管理制度的扣</w:t>
            </w:r>
            <w:r>
              <w:rPr>
                <w:rFonts w:hint="eastAsia"/>
                <w:lang w:val="en-US" w:eastAsia="zh-CN"/>
              </w:rPr>
              <w:t>5</w:t>
            </w:r>
            <w:r>
              <w:rPr>
                <w:rFonts w:hint="eastAsia"/>
              </w:rPr>
              <w:t>分。</w:t>
            </w:r>
          </w:p>
          <w:p>
            <w:pPr>
              <w:ind w:firstLine="0" w:firstLineChars="0"/>
            </w:pPr>
            <w:r>
              <w:rPr>
                <w:rFonts w:hint="eastAsia"/>
              </w:rPr>
              <w:t>b）未进行重大危险源识别的扣</w:t>
            </w:r>
            <w:r>
              <w:rPr>
                <w:rFonts w:hint="eastAsia"/>
                <w:lang w:val="en-US" w:eastAsia="zh-CN"/>
              </w:rPr>
              <w:t>5</w:t>
            </w:r>
            <w:r>
              <w:rPr>
                <w:rFonts w:hint="eastAsia"/>
              </w:rPr>
              <w:t>分，未建立重大危险源档案台账的扣</w:t>
            </w:r>
            <w:r>
              <w:rPr>
                <w:rFonts w:hint="eastAsia"/>
                <w:lang w:val="en-US" w:eastAsia="zh-CN"/>
              </w:rPr>
              <w:t>5</w:t>
            </w:r>
            <w:r>
              <w:rPr>
                <w:rFonts w:hint="eastAsia"/>
              </w:rPr>
              <w:t>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993"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2.</w:t>
            </w:r>
            <w:r>
              <w:rPr>
                <w:rFonts w:hint="eastAsia"/>
              </w:rPr>
              <w:t>安全风险评估：</w:t>
            </w:r>
          </w:p>
          <w:p>
            <w:pPr>
              <w:ind w:firstLine="0" w:firstLineChars="0"/>
            </w:pPr>
            <w:r>
              <w:rPr>
                <w:rFonts w:hint="eastAsia"/>
              </w:rPr>
              <w:t>a）企业应建立安全风险评估管理制度。</w:t>
            </w:r>
          </w:p>
          <w:p>
            <w:pPr>
              <w:ind w:firstLine="0" w:firstLineChars="0"/>
              <w:rPr>
                <w:rFonts w:hint="eastAsia"/>
              </w:rPr>
            </w:pPr>
            <w:r>
              <w:rPr>
                <w:rFonts w:hint="eastAsia"/>
              </w:rPr>
              <w:t>b）应有每3年</w:t>
            </w:r>
            <w:r>
              <w:rPr>
                <w:rFonts w:hint="eastAsia"/>
                <w:lang w:val="en-US" w:eastAsia="zh-CN"/>
              </w:rPr>
              <w:t>对重大危险源</w:t>
            </w:r>
            <w:r>
              <w:rPr>
                <w:rFonts w:hint="eastAsia"/>
              </w:rPr>
              <w:t>进行1次安全评估，</w:t>
            </w:r>
            <w:r>
              <w:rPr>
                <w:rFonts w:hint="eastAsia"/>
                <w:lang w:val="en-US" w:eastAsia="zh-CN"/>
              </w:rPr>
              <w:t>编制</w:t>
            </w:r>
            <w:r>
              <w:rPr>
                <w:rFonts w:hint="eastAsia"/>
              </w:rPr>
              <w:t>安全评估报告</w:t>
            </w:r>
            <w:r>
              <w:rPr>
                <w:rFonts w:hint="eastAsia"/>
                <w:lang w:val="en-US" w:eastAsia="zh-CN"/>
              </w:rPr>
              <w:t>或委托具备资质的第三方出具评价报告</w:t>
            </w:r>
            <w:r>
              <w:rPr>
                <w:rFonts w:hint="eastAsia"/>
              </w:rPr>
              <w:t>。</w:t>
            </w:r>
          </w:p>
          <w:p>
            <w:pPr>
              <w:ind w:firstLine="0" w:firstLineChars="0"/>
              <w:rPr>
                <w:rFonts w:hint="eastAsia"/>
              </w:rPr>
            </w:pPr>
            <w:r>
              <w:rPr>
                <w:rFonts w:hint="eastAsia"/>
                <w:lang w:val="en-US" w:eastAsia="zh-CN"/>
              </w:rPr>
              <w:t>c)当有新技术、新产品、新设备、新材料投入应用，或风险点周边生产作业环境、行业行政法规发生重大变化，或发生了人身伤亡事故，或自然灾害恢复生产前，应进行一次辨识、评估，并全面记录，更新管控清单。</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a）未建立安全风险评估管理制度的扣</w:t>
            </w:r>
            <w:r>
              <w:rPr>
                <w:rFonts w:hint="eastAsia"/>
                <w:lang w:val="en-US" w:eastAsia="zh-CN"/>
              </w:rPr>
              <w:t>5</w:t>
            </w:r>
            <w:r>
              <w:rPr>
                <w:rFonts w:hint="eastAsia"/>
              </w:rPr>
              <w:t>分。</w:t>
            </w:r>
          </w:p>
          <w:p>
            <w:pPr>
              <w:ind w:firstLine="0" w:firstLineChars="0"/>
              <w:rPr>
                <w:rFonts w:hint="eastAsia"/>
              </w:rPr>
            </w:pPr>
            <w:r>
              <w:rPr>
                <w:rFonts w:hint="eastAsia"/>
              </w:rPr>
              <w:t>b）未定期进行安全评估的扣</w:t>
            </w:r>
            <w:r>
              <w:rPr>
                <w:rFonts w:hint="eastAsia"/>
                <w:lang w:val="en-US" w:eastAsia="zh-CN"/>
              </w:rPr>
              <w:t>5</w:t>
            </w:r>
            <w:r>
              <w:rPr>
                <w:rFonts w:hint="eastAsia"/>
              </w:rPr>
              <w:t>分。</w:t>
            </w:r>
          </w:p>
          <w:p>
            <w:pPr>
              <w:ind w:left="0" w:leftChars="0" w:firstLine="0" w:firstLineChars="0"/>
              <w:rPr>
                <w:rFonts w:hint="eastAsia" w:eastAsia="宋体"/>
                <w:lang w:eastAsia="zh-CN"/>
              </w:rPr>
            </w:pPr>
            <w:r>
              <w:rPr>
                <w:rFonts w:hint="eastAsia"/>
                <w:lang w:val="en-US" w:eastAsia="zh-CN"/>
              </w:rPr>
              <w:t>c）未进行辨识、评估、记录，并更新管控清单</w:t>
            </w:r>
            <w:r>
              <w:rPr>
                <w:rFonts w:hint="eastAsia"/>
              </w:rPr>
              <w:t>的此项不得分</w:t>
            </w:r>
            <w:r>
              <w:rPr>
                <w:rFonts w:hint="eastAsia"/>
                <w:lang w:eastAsia="zh-CN"/>
              </w:rPr>
              <w:t>。</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1648"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ind w:left="0" w:leftChars="0" w:firstLine="0" w:firstLineChars="0"/>
              <w:rPr>
                <w:rFonts w:hint="eastAsia"/>
                <w:lang w:val="en-US" w:eastAsia="zh-CN"/>
              </w:rPr>
            </w:pPr>
            <w:r>
              <w:rPr>
                <w:rFonts w:hint="eastAsia"/>
                <w:lang w:val="en-US" w:eastAsia="zh-CN"/>
              </w:rPr>
              <w:t>3.安全风险分级：</w:t>
            </w:r>
          </w:p>
          <w:p>
            <w:pPr>
              <w:numPr>
                <w:ilvl w:val="0"/>
                <w:numId w:val="0"/>
              </w:numPr>
              <w:ind w:left="0" w:leftChars="0" w:firstLine="0" w:firstLineChars="0"/>
              <w:rPr>
                <w:rFonts w:hint="eastAsia"/>
              </w:rPr>
            </w:pPr>
            <w:r>
              <w:rPr>
                <w:rFonts w:hint="eastAsia"/>
              </w:rPr>
              <w:t>a）应</w:t>
            </w:r>
            <w:r>
              <w:rPr>
                <w:rFonts w:hint="eastAsia"/>
                <w:lang w:val="en-US" w:eastAsia="zh-CN"/>
              </w:rPr>
              <w:t>采用作业条件危险性分析法（</w:t>
            </w:r>
            <w:r>
              <w:rPr>
                <w:rFonts w:hint="default"/>
                <w:lang w:val="en-US" w:eastAsia="zh-CN"/>
              </w:rPr>
              <w:t xml:space="preserve">LEC </w:t>
            </w:r>
            <w:r>
              <w:rPr>
                <w:rFonts w:hint="eastAsia"/>
                <w:lang w:val="en-US" w:eastAsia="zh-CN"/>
              </w:rPr>
              <w:t>法）、重大危险源评估法等评估方法对固有风险点进行定性、定量评估，判定风险等级。</w:t>
            </w:r>
          </w:p>
          <w:p>
            <w:pPr>
              <w:numPr>
                <w:ilvl w:val="0"/>
                <w:numId w:val="0"/>
              </w:numPr>
              <w:ind w:left="0" w:leftChars="0" w:firstLine="0" w:firstLineChars="0"/>
            </w:pPr>
            <w:r>
              <w:rPr>
                <w:rFonts w:hint="eastAsia"/>
              </w:rPr>
              <w:t>b）应在风险点醒目处设立风险等级、危险有害因素、应急措施和相应颜色的警示标识</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numPr>
                <w:ilvl w:val="0"/>
                <w:numId w:val="0"/>
              </w:numPr>
              <w:ind w:left="0" w:leftChars="0" w:firstLine="0" w:firstLineChars="0"/>
              <w:rPr>
                <w:rFonts w:hint="default"/>
                <w:lang w:val="en-US" w:eastAsia="zh-CN"/>
              </w:rPr>
            </w:pPr>
            <w:r>
              <w:rPr>
                <w:rFonts w:hint="eastAsia"/>
                <w:lang w:val="en-US" w:eastAsia="zh-CN"/>
              </w:rPr>
              <w:t>a）现实风险评估结果与风险分级不匹配的扣3分。</w:t>
            </w:r>
          </w:p>
          <w:p>
            <w:pPr>
              <w:numPr>
                <w:ilvl w:val="0"/>
                <w:numId w:val="0"/>
              </w:numPr>
              <w:ind w:left="0" w:leftChars="0" w:firstLine="0" w:firstLineChars="0"/>
              <w:rPr>
                <w:rFonts w:hint="eastAsia"/>
                <w:lang w:val="en-US" w:eastAsia="zh-CN"/>
              </w:rPr>
            </w:pPr>
            <w:r>
              <w:rPr>
                <w:rFonts w:hint="eastAsia"/>
                <w:lang w:val="en-US" w:eastAsia="zh-CN"/>
              </w:rPr>
              <w:t>b）未在爆破作业区、库区等入口设置“红、橙、黄、蓝”四色安全风险空间分布图警示牌的扣5分。</w:t>
            </w:r>
          </w:p>
          <w:p>
            <w:pPr>
              <w:ind w:firstLine="0" w:firstLineChars="0"/>
            </w:pP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65"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4.</w:t>
            </w:r>
            <w:r>
              <w:rPr>
                <w:rFonts w:hint="eastAsia"/>
              </w:rPr>
              <w:t>安全风险管控：</w:t>
            </w:r>
          </w:p>
          <w:p>
            <w:pPr>
              <w:ind w:firstLine="0" w:firstLineChars="0"/>
            </w:pPr>
            <w:r>
              <w:rPr>
                <w:rFonts w:hint="eastAsia"/>
              </w:rPr>
              <w:t>a）企业应根据安全风险等级，形成台账，并制定并落实相应的安全风险管控措施。</w:t>
            </w:r>
          </w:p>
          <w:p>
            <w:pPr>
              <w:ind w:firstLine="0" w:firstLineChars="0"/>
              <w:rPr>
                <w:rFonts w:hint="eastAsia"/>
              </w:rPr>
            </w:pPr>
            <w:r>
              <w:rPr>
                <w:rFonts w:hint="eastAsia"/>
              </w:rPr>
              <w:t>b）企业应将安全风险评估结果及所采取的控制措施告知相关从业人员，使其熟悉工作岗位和作业环境中存在的安全风险，掌握、落实应采取的控制措施。</w:t>
            </w:r>
          </w:p>
          <w:p>
            <w:pPr>
              <w:ind w:firstLine="0" w:firstLineChars="0"/>
              <w:rPr>
                <w:rFonts w:hint="eastAsia" w:eastAsia="宋体"/>
                <w:lang w:val="en-US" w:eastAsia="zh-CN"/>
              </w:rPr>
            </w:pPr>
            <w:r>
              <w:rPr>
                <w:rFonts w:hint="eastAsia"/>
                <w:lang w:val="en-US" w:eastAsia="zh-CN"/>
              </w:rPr>
              <w:t>c)风险分级管控分为公司级、部门级、班组级，各级安全管理人员应不定期进行巡视管控，并逐级落实控制措施。</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a）无安全风险台账或管控措施的扣5分。</w:t>
            </w:r>
          </w:p>
          <w:p>
            <w:pPr>
              <w:ind w:firstLine="0" w:firstLineChars="0"/>
              <w:rPr>
                <w:rFonts w:hint="eastAsia"/>
              </w:rPr>
            </w:pPr>
            <w:r>
              <w:rPr>
                <w:rFonts w:hint="eastAsia"/>
              </w:rPr>
              <w:t>b）未告知相关从业人员或从业人员未掌握、落实安全风险控制措施的扣5分。</w:t>
            </w:r>
          </w:p>
          <w:p>
            <w:pPr>
              <w:ind w:firstLine="0" w:firstLineChars="0"/>
              <w:rPr>
                <w:rFonts w:hint="eastAsia"/>
              </w:rPr>
            </w:pPr>
            <w:r>
              <w:rPr>
                <w:rFonts w:hint="eastAsia"/>
              </w:rPr>
              <w:t>c）</w:t>
            </w:r>
            <w:r>
              <w:rPr>
                <w:rFonts w:hint="eastAsia"/>
                <w:lang w:val="en-US" w:eastAsia="zh-CN"/>
              </w:rPr>
              <w:t>未逐级落实控制措施，上一级负责管控的风险点，下一级未同时落实管控的</w:t>
            </w:r>
            <w:r>
              <w:rPr>
                <w:rFonts w:hint="eastAsia"/>
              </w:rPr>
              <w:t>扣5分</w:t>
            </w:r>
            <w:r>
              <w:rPr>
                <w:rFonts w:hint="eastAsia"/>
                <w:lang w:eastAsia="zh-CN"/>
              </w:rPr>
              <w:t>。</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hint="eastAsia" w:ascii="宋体" w:hAnsi="宋体" w:cs="宋体"/>
                <w:kern w:val="0"/>
                <w:szCs w:val="21"/>
                <w:lang w:val="en-US" w:eastAsia="zh-CN"/>
              </w:rPr>
            </w:pPr>
            <w:r>
              <w:rPr>
                <w:rFonts w:hint="eastAsia" w:ascii="宋体" w:hAnsi="宋体" w:cs="宋体"/>
                <w:kern w:val="0"/>
                <w:szCs w:val="21"/>
              </w:rPr>
              <w:t>10分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trHeight w:val="665"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5.</w:t>
            </w:r>
            <w:r>
              <w:rPr>
                <w:rFonts w:hint="eastAsia"/>
              </w:rPr>
              <w:t>重大危险源辨识与管理：</w:t>
            </w:r>
          </w:p>
          <w:p>
            <w:pPr>
              <w:ind w:firstLine="0" w:firstLineChars="0"/>
            </w:pPr>
            <w:r>
              <w:rPr>
                <w:rFonts w:hint="eastAsia"/>
              </w:rPr>
              <w:t>a）企业应建立重大危险源管理制度。</w:t>
            </w:r>
          </w:p>
          <w:p>
            <w:pPr>
              <w:ind w:firstLine="0" w:firstLineChars="0"/>
            </w:pPr>
            <w:r>
              <w:rPr>
                <w:rFonts w:hint="eastAsia"/>
              </w:rPr>
              <w:t>b）企业应全面辨识重大危险源，对重大危险源进行登记建档。</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a）未建立重大危险源管理制度的扣</w:t>
            </w:r>
            <w:r>
              <w:rPr>
                <w:rFonts w:hint="eastAsia"/>
                <w:lang w:val="en-US" w:eastAsia="zh-CN"/>
              </w:rPr>
              <w:t>5</w:t>
            </w:r>
            <w:r>
              <w:rPr>
                <w:rFonts w:hint="eastAsia"/>
              </w:rPr>
              <w:t>分。</w:t>
            </w:r>
          </w:p>
          <w:p>
            <w:pPr>
              <w:ind w:firstLine="0" w:firstLineChars="0"/>
            </w:pPr>
            <w:r>
              <w:rPr>
                <w:rFonts w:hint="eastAsia"/>
              </w:rPr>
              <w:t>b）未对重大危险源建档的扣</w:t>
            </w:r>
            <w:r>
              <w:rPr>
                <w:rFonts w:hint="eastAsia"/>
                <w:lang w:val="en-US" w:eastAsia="zh-CN"/>
              </w:rPr>
              <w:t>5</w:t>
            </w:r>
            <w:r>
              <w:rPr>
                <w:rFonts w:hint="eastAsia"/>
              </w:rPr>
              <w:t>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lang w:val="en-US" w:eastAsia="zh-CN"/>
              </w:rPr>
              <w:t>10</w:t>
            </w:r>
            <w:r>
              <w:rPr>
                <w:rFonts w:hint="eastAsia" w:ascii="宋体" w:hAnsi="宋体" w:cs="宋体"/>
                <w:kern w:val="0"/>
                <w:szCs w:val="21"/>
              </w:rPr>
              <w:t>分</w:t>
            </w:r>
          </w:p>
        </w:tc>
        <w:tc>
          <w:tcPr>
            <w:tcW w:w="1022" w:type="dxa"/>
            <w:tcBorders>
              <w:top w:val="single" w:color="000000" w:sz="4" w:space="0"/>
              <w:left w:val="single" w:color="000000" w:sz="4" w:space="0"/>
              <w:bottom w:val="single" w:color="000000" w:sz="4" w:space="0"/>
              <w:right w:val="single" w:color="000000" w:sz="4" w:space="0"/>
            </w:tcBorders>
            <w:vAlign w:val="center"/>
          </w:tcPr>
          <w:p>
            <w:pPr>
              <w:ind w:firstLine="420"/>
            </w:pPr>
          </w:p>
        </w:tc>
        <w:tc>
          <w:tcPr>
            <w:tcW w:w="1140" w:type="dxa"/>
            <w:gridSpan w:val="3"/>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701" w:hRule="atLeast"/>
        </w:trPr>
        <w:tc>
          <w:tcPr>
            <w:tcW w:w="1193" w:type="dxa"/>
            <w:vMerge w:val="restart"/>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6.3隐患排查治理</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1.</w:t>
            </w:r>
            <w:r>
              <w:rPr>
                <w:rFonts w:hint="eastAsia"/>
              </w:rPr>
              <w:t>执行安全隐患排查管理制度，建立隐患排查台账：</w:t>
            </w:r>
          </w:p>
          <w:p>
            <w:pPr>
              <w:numPr>
                <w:ilvl w:val="0"/>
                <w:numId w:val="0"/>
              </w:numPr>
            </w:pPr>
            <w:r>
              <w:rPr>
                <w:rFonts w:hint="eastAsia"/>
                <w:lang w:val="en-US" w:eastAsia="zh-CN"/>
              </w:rPr>
              <w:t>a)</w:t>
            </w:r>
            <w:r>
              <w:rPr>
                <w:rFonts w:hint="eastAsia"/>
              </w:rPr>
              <w:t>应建立隐患排查治理制度。</w:t>
            </w:r>
          </w:p>
          <w:p>
            <w:pPr>
              <w:numPr>
                <w:ilvl w:val="0"/>
                <w:numId w:val="0"/>
              </w:numPr>
              <w:rPr>
                <w:rFonts w:hint="eastAsia" w:eastAsia="宋体"/>
                <w:lang w:val="en-US" w:eastAsia="zh-CN"/>
              </w:rPr>
            </w:pPr>
            <w:r>
              <w:rPr>
                <w:rFonts w:hint="eastAsia"/>
                <w:lang w:val="en-US" w:eastAsia="zh-CN"/>
              </w:rPr>
              <w:t>b)根据风险点特性确定隐患排查周期，明确各级岗位人员排查的内容。</w:t>
            </w:r>
          </w:p>
          <w:p>
            <w:pPr>
              <w:ind w:firstLine="0" w:firstLineChars="0"/>
            </w:pPr>
            <w:r>
              <w:rPr>
                <w:rFonts w:hint="eastAsia"/>
                <w:lang w:val="en-US" w:eastAsia="zh-CN"/>
              </w:rPr>
              <w:t>c</w:t>
            </w:r>
            <w:r>
              <w:rPr>
                <w:rFonts w:hint="eastAsia"/>
              </w:rPr>
              <w:t>）制定安全隐患检查清单，依据检查清单逐项开展检查。</w:t>
            </w:r>
          </w:p>
          <w:p>
            <w:pPr>
              <w:ind w:firstLine="0" w:firstLineChars="0"/>
            </w:pPr>
            <w:r>
              <w:rPr>
                <w:rFonts w:hint="eastAsia"/>
                <w:lang w:val="en-US" w:eastAsia="zh-CN"/>
              </w:rPr>
              <w:t>d</w:t>
            </w:r>
            <w:r>
              <w:rPr>
                <w:rFonts w:hint="eastAsia"/>
              </w:rPr>
              <w:t>）建立隐患排查治理台账，针对检查出的隐患问题须进行整改反馈、闭环销号。</w:t>
            </w:r>
          </w:p>
          <w:p>
            <w:pPr>
              <w:ind w:firstLine="0" w:firstLineChars="0"/>
            </w:pPr>
            <w:r>
              <w:rPr>
                <w:rFonts w:hint="eastAsia"/>
                <w:lang w:val="en-US" w:eastAsia="zh-CN"/>
              </w:rPr>
              <w:t>e</w:t>
            </w:r>
            <w:r>
              <w:rPr>
                <w:rFonts w:hint="eastAsia"/>
              </w:rPr>
              <w:t>）应如实记录隐患排查治理情况，至少每月进行统计分析，及时将隐患治理情况向从业人员通报。</w:t>
            </w:r>
          </w:p>
          <w:p>
            <w:pPr>
              <w:ind w:firstLine="0" w:firstLineChars="0"/>
            </w:pPr>
            <w:r>
              <w:rPr>
                <w:rFonts w:hint="eastAsia"/>
                <w:lang w:val="en-US" w:eastAsia="zh-CN"/>
              </w:rPr>
              <w:t>f</w:t>
            </w:r>
            <w:r>
              <w:rPr>
                <w:rFonts w:hint="eastAsia"/>
              </w:rPr>
              <w:t>）主要负责人应组织安全检查工作</w:t>
            </w:r>
            <w:r>
              <w:rPr>
                <w:rFonts w:hint="eastAsia"/>
                <w:lang w:eastAsia="zh-CN"/>
              </w:rPr>
              <w:t>，严格落实公安部《从严管控民用爆炸物品十条规定》的“日清点、周核对、月检查”制度</w:t>
            </w:r>
            <w:r>
              <w:rPr>
                <w:rFonts w:hint="eastAsia"/>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a）未建立隐患排查治理制度扣10分。</w:t>
            </w:r>
          </w:p>
          <w:p>
            <w:pPr>
              <w:ind w:firstLine="0" w:firstLineChars="0"/>
            </w:pPr>
            <w:r>
              <w:rPr>
                <w:rFonts w:hint="eastAsia"/>
              </w:rPr>
              <w:t>b）</w:t>
            </w:r>
            <w:r>
              <w:rPr>
                <w:rFonts w:hint="eastAsia"/>
                <w:lang w:val="en-US" w:eastAsia="zh-CN"/>
              </w:rPr>
              <w:t>未明确排查责任人、排查周期；未按照有关规定，定期组织实施对设备、消防、防静电与防雷、运输与储存等进行检测的扣5分。</w:t>
            </w:r>
          </w:p>
          <w:p>
            <w:pPr>
              <w:ind w:firstLine="0" w:firstLineChars="0"/>
            </w:pPr>
            <w:r>
              <w:rPr>
                <w:rFonts w:hint="eastAsia"/>
              </w:rPr>
              <w:t>c）未建立检查清单的扣5分，未落实逐项检查的扣2分</w:t>
            </w:r>
          </w:p>
          <w:p>
            <w:pPr>
              <w:ind w:firstLine="0" w:firstLineChars="0"/>
            </w:pPr>
            <w:r>
              <w:rPr>
                <w:rFonts w:hint="eastAsia"/>
              </w:rPr>
              <w:t>d）未建立台账或未对问题进行整改反馈、闭环销号的此项不得分。</w:t>
            </w:r>
          </w:p>
          <w:p>
            <w:pPr>
              <w:ind w:firstLine="0" w:firstLineChars="0"/>
            </w:pPr>
            <w:r>
              <w:rPr>
                <w:rFonts w:hint="eastAsia"/>
                <w:lang w:val="en-US" w:eastAsia="zh-CN"/>
              </w:rPr>
              <w:t>e</w:t>
            </w:r>
            <w:r>
              <w:rPr>
                <w:rFonts w:hint="eastAsia"/>
              </w:rPr>
              <w:t>）未建立汇总隐患清单台账的扣10分，未向从业人员通报的扣5分。</w:t>
            </w:r>
          </w:p>
          <w:p>
            <w:pPr>
              <w:ind w:firstLine="0" w:firstLineChars="0"/>
            </w:pPr>
            <w:r>
              <w:rPr>
                <w:rFonts w:hint="eastAsia"/>
                <w:lang w:val="en-US" w:eastAsia="zh-CN"/>
              </w:rPr>
              <w:t>f</w:t>
            </w:r>
            <w:r>
              <w:rPr>
                <w:rFonts w:hint="eastAsia"/>
              </w:rPr>
              <w:t>）未组织或少一次扣5分。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15分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701"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2</w:t>
            </w:r>
            <w:r>
              <w:rPr>
                <w:rFonts w:hint="eastAsia"/>
                <w:lang w:val="en-US" w:eastAsia="zh-CN"/>
              </w:rPr>
              <w:t>.</w:t>
            </w:r>
            <w:r>
              <w:rPr>
                <w:rFonts w:hint="eastAsia"/>
              </w:rPr>
              <w:t>根据隐患排查结果，进行隐患治理。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未对隐患及时进行</w:t>
            </w:r>
            <w:r>
              <w:rPr>
                <w:rFonts w:hint="eastAsia"/>
                <w:lang w:eastAsia="zh-CN"/>
              </w:rPr>
              <w:t>整改治理</w:t>
            </w:r>
            <w:r>
              <w:rPr>
                <w:rFonts w:hint="eastAsia"/>
              </w:rPr>
              <w:t>的不得分。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771"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3</w:t>
            </w:r>
            <w:r>
              <w:rPr>
                <w:rFonts w:hint="eastAsia"/>
                <w:lang w:val="en-US" w:eastAsia="zh-CN"/>
              </w:rPr>
              <w:t>.</w:t>
            </w:r>
            <w:r>
              <w:rPr>
                <w:rFonts w:hint="eastAsia"/>
              </w:rPr>
              <w:t>隐患治理验收与评估。</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未对隐患治理情况进行验收和评估的不得分。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1014" w:hRule="atLeast"/>
        </w:trPr>
        <w:tc>
          <w:tcPr>
            <w:tcW w:w="1193" w:type="dxa"/>
            <w:vMerge w:val="continue"/>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rPr>
                <w:rFonts w:ascii="宋体" w:hAnsi="宋体" w:cs="宋体"/>
                <w:szCs w:val="21"/>
              </w:rPr>
            </w:pP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numPr>
                <w:ilvl w:val="0"/>
                <w:numId w:val="0"/>
              </w:numPr>
            </w:pPr>
            <w:r>
              <w:rPr>
                <w:rFonts w:hint="eastAsia"/>
                <w:lang w:val="en-US" w:eastAsia="zh-CN"/>
              </w:rPr>
              <w:t>4.</w:t>
            </w:r>
            <w:r>
              <w:rPr>
                <w:rFonts w:hint="eastAsia"/>
              </w:rPr>
              <w:t>隐患排查记录、通报：</w:t>
            </w:r>
          </w:p>
          <w:p>
            <w:pPr>
              <w:numPr>
                <w:ilvl w:val="0"/>
                <w:numId w:val="7"/>
              </w:numPr>
              <w:ind w:firstLine="0" w:firstLineChars="0"/>
            </w:pPr>
            <w:r>
              <w:rPr>
                <w:rFonts w:hint="eastAsia"/>
              </w:rPr>
              <w:t>企业应如实记录隐患排查治理情况，至少每月进行统计分析。</w:t>
            </w:r>
          </w:p>
          <w:p>
            <w:pPr>
              <w:ind w:firstLine="0" w:firstLineChars="0"/>
            </w:pPr>
            <w:r>
              <w:rPr>
                <w:rFonts w:hint="eastAsia"/>
              </w:rPr>
              <w:t>b）及时将隐患排查治理情况向从业人员进行通报。</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a）未如实记录或定期统计分析的扣5分。</w:t>
            </w:r>
          </w:p>
          <w:p>
            <w:pPr>
              <w:ind w:firstLine="0" w:firstLineChars="0"/>
            </w:pPr>
            <w:r>
              <w:rPr>
                <w:rFonts w:hint="eastAsia"/>
              </w:rPr>
              <w:t>b）未及时向从业人员进行通报的扣5分。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731"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6.4预测预警</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企业应根据生产经营状况、安全风险管理及隐患排查治理等情况，建立安全生产预测预警体系。</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lang w:val="en-US" w:eastAsia="zh-CN"/>
              </w:rPr>
              <w:t>企业未形成</w:t>
            </w:r>
            <w:r>
              <w:rPr>
                <w:rFonts w:hint="eastAsia"/>
              </w:rPr>
              <w:t>隐患自查自报</w:t>
            </w:r>
            <w:r>
              <w:rPr>
                <w:rFonts w:hint="eastAsia"/>
                <w:lang w:val="en-US" w:eastAsia="zh-CN"/>
              </w:rPr>
              <w:t>机制；或在爆破作业过程中，未规范使用布控球；或民爆物品储存库视频监控信息未联入福建省危险物品“一体化”监管信息平台的</w:t>
            </w:r>
            <w:r>
              <w:rPr>
                <w:rFonts w:hint="eastAsia"/>
              </w:rPr>
              <w:t>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5分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588" w:hRule="atLeast"/>
        </w:trPr>
        <w:tc>
          <w:tcPr>
            <w:tcW w:w="14653" w:type="dxa"/>
            <w:gridSpan w:val="10"/>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ascii="宋体" w:hAnsi="宋体" w:cs="宋体"/>
                <w:b/>
                <w:kern w:val="0"/>
                <w:sz w:val="24"/>
              </w:rPr>
              <w:t>7 应急救援(65分)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gridAfter w:val="1"/>
          <w:wAfter w:w="30" w:type="dxa"/>
          <w:trHeight w:val="673"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kern w:val="0"/>
                <w:szCs w:val="21"/>
              </w:rPr>
            </w:pPr>
            <w:r>
              <w:rPr>
                <w:rFonts w:hint="eastAsia"/>
                <w:sz w:val="24"/>
              </w:rPr>
              <w:t>应得分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gridAfter w:val="1"/>
          <w:wAfter w:w="30" w:type="dxa"/>
          <w:trHeight w:val="673" w:hRule="atLeast"/>
        </w:trPr>
        <w:tc>
          <w:tcPr>
            <w:tcW w:w="1193" w:type="dxa"/>
            <w:tcBorders>
              <w:top w:val="single" w:color="000000" w:sz="4" w:space="0"/>
              <w:left w:val="single" w:color="000000" w:sz="4" w:space="0"/>
              <w:bottom w:val="single" w:color="auto" w:sz="4" w:space="0"/>
              <w:right w:val="single" w:color="000000" w:sz="4" w:space="0"/>
            </w:tcBorders>
            <w:vAlign w:val="center"/>
          </w:tcPr>
          <w:p>
            <w:pPr>
              <w:ind w:firstLine="0" w:firstLineChars="0"/>
            </w:pPr>
            <w:r>
              <w:rPr>
                <w:rFonts w:hint="eastAsia"/>
              </w:rPr>
              <w:t>7.1</w:t>
            </w:r>
            <w:r>
              <w:t>应急管理</w:t>
            </w:r>
          </w:p>
        </w:tc>
        <w:tc>
          <w:tcPr>
            <w:tcW w:w="5719" w:type="dxa"/>
            <w:gridSpan w:val="2"/>
            <w:tcBorders>
              <w:top w:val="single" w:color="000000" w:sz="4" w:space="0"/>
              <w:left w:val="single" w:color="000000" w:sz="4" w:space="0"/>
              <w:bottom w:val="single" w:color="auto" w:sz="4" w:space="0"/>
              <w:right w:val="single" w:color="000000" w:sz="4" w:space="0"/>
            </w:tcBorders>
            <w:vAlign w:val="center"/>
          </w:tcPr>
          <w:p>
            <w:pPr>
              <w:ind w:firstLine="0" w:firstLineChars="0"/>
            </w:pPr>
            <w:r>
              <w:rPr>
                <w:rFonts w:hint="eastAsia"/>
              </w:rPr>
              <w:t>按《生产安全事故应急预案管理办法》要求制定生产安全事故应急管理制度</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未按规定要求制定生产安全事故应急管理制度</w:t>
            </w:r>
            <w:r>
              <w:rPr>
                <w:rFonts w:hint="eastAsia"/>
                <w:lang w:eastAsia="zh-CN"/>
              </w:rPr>
              <w:t>的</w:t>
            </w:r>
            <w:r>
              <w:rPr>
                <w:rFonts w:hint="eastAsia"/>
              </w:rPr>
              <w:t>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90" w:hRule="atLeast"/>
        </w:trPr>
        <w:tc>
          <w:tcPr>
            <w:tcW w:w="1193" w:type="dxa"/>
            <w:tcBorders>
              <w:top w:val="single" w:color="auto" w:sz="4" w:space="0"/>
              <w:left w:val="single" w:color="000000" w:sz="4" w:space="0"/>
              <w:bottom w:val="single" w:color="auto" w:sz="4" w:space="0"/>
              <w:right w:val="single" w:color="000000" w:sz="4" w:space="0"/>
            </w:tcBorders>
            <w:vAlign w:val="center"/>
          </w:tcPr>
          <w:p>
            <w:pPr>
              <w:ind w:firstLine="0" w:firstLineChars="0"/>
            </w:pPr>
            <w:r>
              <w:rPr>
                <w:rFonts w:hint="eastAsia"/>
              </w:rPr>
              <w:t>7.2生产安全事故应急预案</w:t>
            </w:r>
          </w:p>
        </w:tc>
        <w:tc>
          <w:tcPr>
            <w:tcW w:w="5719" w:type="dxa"/>
            <w:gridSpan w:val="2"/>
            <w:tcBorders>
              <w:top w:val="single" w:color="auto" w:sz="4" w:space="0"/>
              <w:left w:val="single" w:color="000000" w:sz="4" w:space="0"/>
              <w:bottom w:val="single" w:color="auto" w:sz="4" w:space="0"/>
              <w:right w:val="single" w:color="000000" w:sz="4" w:space="0"/>
            </w:tcBorders>
            <w:vAlign w:val="center"/>
          </w:tcPr>
          <w:p>
            <w:pPr>
              <w:ind w:firstLine="0" w:firstLineChars="0"/>
            </w:pPr>
            <w:r>
              <w:rPr>
                <w:rFonts w:hint="eastAsia"/>
              </w:rPr>
              <w:t>a）根据《生产安全事故应急预案管理办法》编制生产安全事故应急预案并发布实施，包括综合应急预案、专项应急预案和现场处置方案，并对相关人员进行应急预案培训；</w:t>
            </w:r>
          </w:p>
          <w:p>
            <w:pPr>
              <w:ind w:firstLine="0" w:firstLineChars="0"/>
            </w:pPr>
            <w:r>
              <w:rPr>
                <w:rFonts w:hint="eastAsia"/>
              </w:rPr>
              <w:t>b）按照风险辨识的结果制定专项应急预案，包括火灾、爆炸、运输、重大危险源、爆破其他事故</w:t>
            </w:r>
            <w:r>
              <w:rPr>
                <w:rFonts w:hint="eastAsia"/>
                <w:lang w:eastAsia="zh-CN"/>
              </w:rPr>
              <w:t>、</w:t>
            </w:r>
            <w:r>
              <w:rPr>
                <w:rFonts w:hint="eastAsia"/>
                <w:lang w:val="en-US" w:eastAsia="zh-CN"/>
              </w:rPr>
              <w:t>自然灾害</w:t>
            </w:r>
            <w:r>
              <w:rPr>
                <w:rFonts w:hint="eastAsia"/>
              </w:rPr>
              <w:t>以及防盗窃、防抢劫、防破坏等方面；</w:t>
            </w:r>
          </w:p>
          <w:p>
            <w:pPr>
              <w:ind w:firstLine="0" w:firstLineChars="0"/>
            </w:pPr>
            <w:r>
              <w:rPr>
                <w:rFonts w:hint="eastAsia"/>
              </w:rPr>
              <w:t>c）现场处置方案应符合爆破作业所涉及作业过程的工序，内容包括</w:t>
            </w:r>
            <w:r>
              <w:rPr>
                <w:rFonts w:hint="eastAsia"/>
                <w:lang w:val="en-US" w:eastAsia="zh-CN"/>
              </w:rPr>
              <w:t>民爆物品储存库的</w:t>
            </w:r>
            <w:r>
              <w:rPr>
                <w:rFonts w:hint="eastAsia"/>
              </w:rPr>
              <w:t>燃烧、爆炸</w:t>
            </w:r>
            <w:r>
              <w:rPr>
                <w:rFonts w:hint="eastAsia"/>
                <w:lang w:eastAsia="zh-CN"/>
              </w:rPr>
              <w:t>，</w:t>
            </w:r>
            <w:r>
              <w:rPr>
                <w:rFonts w:hint="eastAsia"/>
              </w:rPr>
              <w:t>中毒、设备异常或故障等突发情况的现场处置方案；</w:t>
            </w:r>
          </w:p>
          <w:p>
            <w:pPr>
              <w:ind w:firstLine="0" w:firstLineChars="0"/>
            </w:pPr>
            <w:r>
              <w:rPr>
                <w:rFonts w:hint="eastAsia"/>
              </w:rPr>
              <w:t>d）将应急预案报当地</w:t>
            </w:r>
            <w:r>
              <w:rPr>
                <w:rFonts w:hint="eastAsia"/>
                <w:lang w:eastAsia="zh-CN"/>
              </w:rPr>
              <w:t>应急管理</w:t>
            </w:r>
            <w:r>
              <w:rPr>
                <w:rFonts w:hint="eastAsia"/>
              </w:rPr>
              <w:t>部门和</w:t>
            </w:r>
            <w:r>
              <w:rPr>
                <w:rFonts w:hint="eastAsia"/>
                <w:lang w:eastAsia="zh-CN"/>
              </w:rPr>
              <w:t>公安机关</w:t>
            </w:r>
            <w:r>
              <w:rPr>
                <w:rFonts w:hint="eastAsia"/>
              </w:rPr>
              <w:t>备案；</w:t>
            </w:r>
          </w:p>
          <w:p>
            <w:pPr>
              <w:ind w:firstLine="0" w:firstLineChars="0"/>
              <w:rPr>
                <w:rFonts w:hint="eastAsia" w:eastAsia="宋体"/>
                <w:lang w:eastAsia="zh-CN"/>
              </w:rPr>
            </w:pPr>
            <w:r>
              <w:rPr>
                <w:rFonts w:hint="eastAsia"/>
              </w:rPr>
              <w:t>e）应急预案进行定期评审，至少每三年修订一次并重新备案</w:t>
            </w:r>
            <w:r>
              <w:rPr>
                <w:rFonts w:hint="eastAsia"/>
                <w:lang w:eastAsia="zh-CN"/>
              </w:rPr>
              <w:t>。</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a）未编制、发布符合爆破行业要求的生产安全事故应急预案不得分；</w:t>
            </w:r>
          </w:p>
          <w:p>
            <w:pPr>
              <w:ind w:firstLine="0" w:firstLineChars="0"/>
            </w:pPr>
            <w:r>
              <w:rPr>
                <w:rFonts w:hint="eastAsia"/>
              </w:rPr>
              <w:t>b）未按照风险辨识的结果制定专项应急预案扣 10 分，每缺一项扣 5 分；</w:t>
            </w:r>
          </w:p>
          <w:p>
            <w:pPr>
              <w:ind w:firstLine="0" w:firstLineChars="0"/>
            </w:pPr>
            <w:r>
              <w:rPr>
                <w:rFonts w:hint="eastAsia"/>
              </w:rPr>
              <w:t>c）现场处置方案每缺少一个工序扣 3 分，内容不完善的</w:t>
            </w:r>
            <w:r>
              <w:rPr>
                <w:rFonts w:hint="eastAsia"/>
                <w:lang w:eastAsia="zh-CN"/>
              </w:rPr>
              <w:t>每缺</w:t>
            </w:r>
            <w:r>
              <w:rPr>
                <w:rFonts w:hint="eastAsia"/>
                <w:lang w:val="en-US" w:eastAsia="zh-CN"/>
              </w:rPr>
              <w:t>1处</w:t>
            </w:r>
            <w:r>
              <w:rPr>
                <w:rFonts w:hint="eastAsia"/>
              </w:rPr>
              <w:t>扣 1 分；</w:t>
            </w:r>
          </w:p>
          <w:p>
            <w:pPr>
              <w:ind w:firstLine="0" w:firstLineChars="0"/>
            </w:pPr>
            <w:r>
              <w:rPr>
                <w:rFonts w:hint="eastAsia"/>
              </w:rPr>
              <w:t>d）未</w:t>
            </w:r>
            <w:r>
              <w:rPr>
                <w:rFonts w:hint="eastAsia"/>
                <w:lang w:eastAsia="zh-CN"/>
              </w:rPr>
              <w:t>将</w:t>
            </w:r>
            <w:r>
              <w:rPr>
                <w:rFonts w:hint="eastAsia"/>
              </w:rPr>
              <w:t>应急预案</w:t>
            </w:r>
            <w:r>
              <w:rPr>
                <w:rFonts w:hint="eastAsia"/>
                <w:lang w:eastAsia="zh-CN"/>
              </w:rPr>
              <w:t>报</w:t>
            </w:r>
            <w:r>
              <w:rPr>
                <w:rFonts w:hint="eastAsia"/>
                <w:lang w:val="en-US" w:eastAsia="zh-CN"/>
              </w:rPr>
              <w:t>所在</w:t>
            </w:r>
            <w:r>
              <w:rPr>
                <w:rFonts w:hint="eastAsia"/>
              </w:rPr>
              <w:t>地</w:t>
            </w:r>
            <w:r>
              <w:rPr>
                <w:rFonts w:hint="eastAsia"/>
                <w:lang w:val="en-US" w:eastAsia="zh-CN"/>
              </w:rPr>
              <w:t>县级以上</w:t>
            </w:r>
            <w:r>
              <w:rPr>
                <w:rFonts w:hint="eastAsia"/>
                <w:lang w:eastAsia="zh-CN"/>
              </w:rPr>
              <w:t>应急管理</w:t>
            </w:r>
            <w:r>
              <w:rPr>
                <w:rFonts w:hint="eastAsia"/>
              </w:rPr>
              <w:t>部门和</w:t>
            </w:r>
            <w:r>
              <w:rPr>
                <w:rFonts w:hint="eastAsia"/>
                <w:lang w:eastAsia="zh-CN"/>
              </w:rPr>
              <w:t>公安机关</w:t>
            </w:r>
            <w:r>
              <w:rPr>
                <w:rFonts w:hint="eastAsia"/>
              </w:rPr>
              <w:t>备案</w:t>
            </w:r>
            <w:r>
              <w:rPr>
                <w:rFonts w:hint="eastAsia"/>
                <w:lang w:eastAsia="zh-CN"/>
              </w:rPr>
              <w:t>的</w:t>
            </w:r>
            <w:r>
              <w:rPr>
                <w:rFonts w:hint="eastAsia"/>
              </w:rPr>
              <w:t>扣 5 分；</w:t>
            </w:r>
          </w:p>
          <w:p>
            <w:pPr>
              <w:ind w:firstLine="0" w:firstLineChars="0"/>
            </w:pPr>
            <w:r>
              <w:rPr>
                <w:rFonts w:hint="eastAsia"/>
              </w:rPr>
              <w:t>e）未对应急预案进行定期评审或未重新备案</w:t>
            </w:r>
            <w:r>
              <w:rPr>
                <w:rFonts w:hint="eastAsia"/>
                <w:lang w:eastAsia="zh-CN"/>
              </w:rPr>
              <w:t>的</w:t>
            </w:r>
            <w:r>
              <w:rPr>
                <w:rFonts w:hint="eastAsia"/>
              </w:rPr>
              <w:t>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15分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1724" w:hRule="atLeast"/>
        </w:trPr>
        <w:tc>
          <w:tcPr>
            <w:tcW w:w="1193" w:type="dxa"/>
            <w:tcBorders>
              <w:top w:val="single" w:color="auto" w:sz="4" w:space="0"/>
              <w:left w:val="single" w:color="000000" w:sz="4" w:space="0"/>
              <w:bottom w:val="single" w:color="auto" w:sz="4" w:space="0"/>
              <w:right w:val="single" w:color="000000" w:sz="4" w:space="0"/>
            </w:tcBorders>
            <w:vAlign w:val="center"/>
          </w:tcPr>
          <w:p>
            <w:pPr>
              <w:ind w:firstLine="0" w:firstLineChars="0"/>
            </w:pPr>
            <w:r>
              <w:rPr>
                <w:rFonts w:hint="eastAsia"/>
              </w:rPr>
              <w:t>7.3应急机构和队伍</w:t>
            </w:r>
          </w:p>
        </w:tc>
        <w:tc>
          <w:tcPr>
            <w:tcW w:w="5719" w:type="dxa"/>
            <w:gridSpan w:val="2"/>
            <w:tcBorders>
              <w:top w:val="single" w:color="auto" w:sz="4" w:space="0"/>
              <w:left w:val="single" w:color="000000" w:sz="4" w:space="0"/>
              <w:bottom w:val="single" w:color="000000" w:sz="4" w:space="0"/>
              <w:right w:val="single" w:color="000000" w:sz="4" w:space="0"/>
            </w:tcBorders>
            <w:vAlign w:val="center"/>
          </w:tcPr>
          <w:p>
            <w:pPr>
              <w:ind w:firstLine="0" w:firstLineChars="0"/>
            </w:pPr>
            <w:r>
              <w:rPr>
                <w:rFonts w:hint="eastAsia"/>
              </w:rPr>
              <w:t>a）明确生产安全事故应急管理</w:t>
            </w:r>
            <w:r>
              <w:rPr>
                <w:rFonts w:hint="eastAsia"/>
                <w:lang w:eastAsia="zh-CN"/>
              </w:rPr>
              <w:t>机构</w:t>
            </w:r>
            <w:r>
              <w:rPr>
                <w:rFonts w:hint="eastAsia"/>
              </w:rPr>
              <w:t>，明确单位主要负责人或分管安全负责人为应急领导小组组长或应急指挥长，有生产安全事故应急管理组织结构图；</w:t>
            </w:r>
          </w:p>
          <w:p>
            <w:pPr>
              <w:ind w:firstLine="0" w:firstLineChars="0"/>
            </w:pPr>
            <w:r>
              <w:rPr>
                <w:rFonts w:hint="eastAsia"/>
              </w:rPr>
              <w:t>b）建立与本单位生产安全特点相适应的专（兼）职应急救援队伍</w:t>
            </w:r>
            <w:r>
              <w:rPr>
                <w:rFonts w:hint="eastAsia"/>
                <w:lang w:eastAsia="zh-CN"/>
              </w:rPr>
              <w:t>、</w:t>
            </w:r>
            <w:r>
              <w:rPr>
                <w:rFonts w:hint="eastAsia"/>
              </w:rPr>
              <w:t>专</w:t>
            </w:r>
            <w:r>
              <w:rPr>
                <w:rFonts w:hint="eastAsia"/>
                <w:lang w:eastAsia="zh-CN"/>
              </w:rPr>
              <w:t>（</w:t>
            </w:r>
            <w:r>
              <w:rPr>
                <w:rFonts w:hint="eastAsia"/>
              </w:rPr>
              <w:t>兼</w:t>
            </w:r>
            <w:r>
              <w:rPr>
                <w:rFonts w:hint="eastAsia"/>
                <w:lang w:eastAsia="zh-CN"/>
              </w:rPr>
              <w:t>）</w:t>
            </w:r>
            <w:r>
              <w:rPr>
                <w:rFonts w:hint="eastAsia"/>
              </w:rPr>
              <w:t>职应急救援人员</w:t>
            </w:r>
            <w:r>
              <w:rPr>
                <w:rFonts w:hint="eastAsia"/>
                <w:lang w:val="en-US" w:eastAsia="zh-CN"/>
              </w:rPr>
              <w:t>或</w:t>
            </w:r>
            <w:r>
              <w:rPr>
                <w:rFonts w:hint="eastAsia"/>
                <w:lang w:eastAsia="zh-CN"/>
              </w:rPr>
              <w:t>应急救援小组</w:t>
            </w:r>
            <w:r>
              <w:rPr>
                <w:rFonts w:hint="eastAsia"/>
              </w:rPr>
              <w:t>；</w:t>
            </w:r>
          </w:p>
          <w:p>
            <w:pPr>
              <w:ind w:firstLine="0" w:firstLineChars="0"/>
            </w:pPr>
            <w:r>
              <w:rPr>
                <w:rFonts w:hint="eastAsia"/>
              </w:rPr>
              <w:t>c）专兼职应急救援队伍和人员有具体救援程序和职责，并按企业规定定期组织训练；</w:t>
            </w:r>
          </w:p>
          <w:p>
            <w:pPr>
              <w:ind w:firstLine="0" w:firstLineChars="0"/>
            </w:pPr>
            <w:r>
              <w:rPr>
                <w:rFonts w:hint="eastAsia"/>
              </w:rPr>
              <w:t>d）有生产安全事故应急预案体系图</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a）未明确应急管理</w:t>
            </w:r>
            <w:r>
              <w:rPr>
                <w:rFonts w:hint="eastAsia"/>
                <w:lang w:eastAsia="zh-CN"/>
              </w:rPr>
              <w:t>机构</w:t>
            </w:r>
            <w:r>
              <w:rPr>
                <w:rFonts w:hint="eastAsia"/>
              </w:rPr>
              <w:t>或未明确相关负责人扣 2 分，图表不规范或不符实际一处扣2 分；</w:t>
            </w:r>
          </w:p>
          <w:p>
            <w:pPr>
              <w:ind w:firstLine="0" w:firstLineChars="0"/>
            </w:pPr>
            <w:r>
              <w:rPr>
                <w:rFonts w:hint="eastAsia"/>
              </w:rPr>
              <w:t>b）没有建立队伍或指定专兼职人员负责扣 2分，队伍或人员不能满足要求扣 2 分；</w:t>
            </w:r>
          </w:p>
          <w:p>
            <w:pPr>
              <w:ind w:firstLine="0" w:firstLineChars="0"/>
            </w:pPr>
            <w:r>
              <w:rPr>
                <w:rFonts w:hint="eastAsia"/>
              </w:rPr>
              <w:t>c）无训练计划和记录或未按计划训练每次扣 2 分；抽查两名救援人员，不清楚职能或不熟悉救援装备使用每人次扣 2 分；</w:t>
            </w:r>
          </w:p>
          <w:p>
            <w:pPr>
              <w:ind w:firstLine="0" w:firstLineChars="0"/>
            </w:pPr>
            <w:r>
              <w:rPr>
                <w:rFonts w:hint="eastAsia"/>
              </w:rPr>
              <w:t>d）无生产安全事故应急预案体系图扣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481" w:hRule="atLeast"/>
        </w:trPr>
        <w:tc>
          <w:tcPr>
            <w:tcW w:w="1193" w:type="dxa"/>
            <w:tcBorders>
              <w:top w:val="single" w:color="auto" w:sz="4" w:space="0"/>
              <w:left w:val="single" w:color="000000" w:sz="4" w:space="0"/>
              <w:bottom w:val="single" w:color="000000" w:sz="4" w:space="0"/>
              <w:right w:val="single" w:color="000000" w:sz="4" w:space="0"/>
            </w:tcBorders>
            <w:vAlign w:val="center"/>
          </w:tcPr>
          <w:p>
            <w:pPr>
              <w:ind w:firstLine="0" w:firstLineChars="0"/>
            </w:pPr>
            <w:r>
              <w:rPr>
                <w:rFonts w:hint="eastAsia"/>
              </w:rPr>
              <w:t>7.4应急设施、装备、物资</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w:t>
            </w:r>
            <w:r>
              <w:rPr>
                <w:rFonts w:hint="eastAsia"/>
                <w:lang w:val="en-US" w:eastAsia="zh-CN"/>
              </w:rPr>
              <w:t>鼓励</w:t>
            </w:r>
            <w:r>
              <w:rPr>
                <w:rFonts w:hint="eastAsia"/>
              </w:rPr>
              <w:t>建立应急通讯网络，</w:t>
            </w:r>
            <w:r>
              <w:rPr>
                <w:rFonts w:hint="eastAsia"/>
                <w:lang w:val="en-US" w:eastAsia="zh-CN"/>
              </w:rPr>
              <w:t>并</w:t>
            </w:r>
            <w:r>
              <w:rPr>
                <w:rFonts w:hint="eastAsia"/>
              </w:rPr>
              <w:t>保证应急通讯网络的畅通；</w:t>
            </w:r>
          </w:p>
          <w:p>
            <w:pPr>
              <w:ind w:firstLine="0" w:firstLineChars="0"/>
            </w:pPr>
            <w:r>
              <w:rPr>
                <w:rFonts w:hint="eastAsia"/>
              </w:rPr>
              <w:t>b）按应急预案的要求，建立应急设施，配备应急装备，储备应急物资，建立应急物资清单；</w:t>
            </w:r>
          </w:p>
          <w:p>
            <w:pPr>
              <w:ind w:firstLine="0" w:firstLineChars="0"/>
            </w:pPr>
            <w:r>
              <w:rPr>
                <w:rFonts w:hint="eastAsia"/>
              </w:rPr>
              <w:t>c）应对应急设施、装备和物资进行经常性的检查、维护、保养，确保其完好可靠；</w:t>
            </w:r>
          </w:p>
          <w:p>
            <w:pPr>
              <w:ind w:firstLine="0" w:firstLineChars="0"/>
            </w:pPr>
            <w:r>
              <w:rPr>
                <w:rFonts w:hint="eastAsia"/>
              </w:rPr>
              <w:t>d）</w:t>
            </w:r>
            <w:r>
              <w:rPr>
                <w:rFonts w:hint="eastAsia"/>
                <w:lang w:eastAsia="zh-CN"/>
              </w:rPr>
              <w:t>地采项目</w:t>
            </w:r>
            <w:r>
              <w:rPr>
                <w:rFonts w:hint="eastAsia"/>
              </w:rPr>
              <w:t>应按照预案要求，清晰设置疏散路线、避险场所等应急标识</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 xml:space="preserve">a）无应急通讯网络扣 </w:t>
            </w:r>
            <w:r>
              <w:rPr>
                <w:rFonts w:hint="eastAsia"/>
                <w:lang w:val="en-US" w:eastAsia="zh-CN"/>
              </w:rPr>
              <w:t>5</w:t>
            </w:r>
            <w:r>
              <w:rPr>
                <w:rFonts w:hint="eastAsia"/>
              </w:rPr>
              <w:t xml:space="preserve"> 分，通讯网络不畅通扣</w:t>
            </w:r>
            <w:r>
              <w:rPr>
                <w:rFonts w:hint="eastAsia"/>
                <w:lang w:val="en-US" w:eastAsia="zh-CN"/>
              </w:rPr>
              <w:t>3</w:t>
            </w:r>
            <w:r>
              <w:rPr>
                <w:rFonts w:hint="eastAsia"/>
              </w:rPr>
              <w:t xml:space="preserve"> 分；</w:t>
            </w:r>
          </w:p>
          <w:p>
            <w:pPr>
              <w:ind w:firstLine="0" w:firstLineChars="0"/>
            </w:pPr>
            <w:r>
              <w:rPr>
                <w:rFonts w:hint="eastAsia"/>
              </w:rPr>
              <w:t>b）未配备应急设施、装备、物资不得分，配备不足扣 4 分，无应急物资清单或清单与实物不符每有一处扣 2 分；</w:t>
            </w:r>
          </w:p>
          <w:p>
            <w:pPr>
              <w:ind w:firstLine="0" w:firstLineChars="0"/>
            </w:pPr>
            <w:r>
              <w:rPr>
                <w:rFonts w:hint="eastAsia"/>
              </w:rPr>
              <w:t>c）无检查、维护、保养记录扣 2 分，有一处不完好可靠扣 1 分；</w:t>
            </w:r>
          </w:p>
          <w:p>
            <w:pPr>
              <w:ind w:firstLine="0" w:firstLineChars="0"/>
            </w:pPr>
            <w:r>
              <w:rPr>
                <w:rFonts w:hint="eastAsia"/>
              </w:rPr>
              <w:t>d）</w:t>
            </w:r>
            <w:r>
              <w:rPr>
                <w:rFonts w:hint="eastAsia"/>
                <w:lang w:eastAsia="zh-CN"/>
              </w:rPr>
              <w:t>地采项目</w:t>
            </w:r>
            <w:r>
              <w:rPr>
                <w:rFonts w:hint="eastAsia"/>
              </w:rPr>
              <w:t>无疏散路线、避险场所等应急标识不得分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15分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558"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7.5应急演练</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 xml:space="preserve">a）依据 </w:t>
            </w:r>
            <w:r>
              <w:rPr>
                <w:rFonts w:hint="eastAsia"/>
                <w:lang w:val="en-US" w:eastAsia="zh-CN"/>
              </w:rPr>
              <w:t>《</w:t>
            </w:r>
            <w:r>
              <w:rPr>
                <w:rFonts w:hint="eastAsia"/>
              </w:rPr>
              <w:t>生产安全事故应急预案管理办法</w:t>
            </w:r>
            <w:r>
              <w:rPr>
                <w:rFonts w:hint="eastAsia"/>
                <w:lang w:eastAsia="zh-CN"/>
              </w:rPr>
              <w:t>》</w:t>
            </w:r>
            <w:r>
              <w:rPr>
                <w:rFonts w:hint="eastAsia"/>
                <w:lang w:val="en-US" w:eastAsia="zh-CN"/>
              </w:rPr>
              <w:t>和</w:t>
            </w:r>
            <w:r>
              <w:rPr>
                <w:rFonts w:hint="eastAsia"/>
              </w:rPr>
              <w:t>AQ/T9007 要求，制定本单位年度应急预案演练计划，编制应急演练方案，定期组织安全生产事故应急演练</w:t>
            </w:r>
            <w:r>
              <w:rPr>
                <w:rFonts w:hint="eastAsia"/>
                <w:lang w:eastAsia="zh-CN"/>
              </w:rPr>
              <w:t>。</w:t>
            </w:r>
            <w:r>
              <w:rPr>
                <w:rFonts w:hint="eastAsia"/>
              </w:rPr>
              <w:t>其中，每年至少组织一次综合应急预案演练或者专项应急预案演练，每半年至少组织一次现场处置方案演练</w:t>
            </w:r>
            <w:r>
              <w:rPr>
                <w:rFonts w:hint="eastAsia"/>
                <w:lang w:eastAsia="zh-CN"/>
              </w:rPr>
              <w:t>。单位技术负责人、爆破作业</w:t>
            </w:r>
            <w:r>
              <w:rPr>
                <w:rFonts w:hint="eastAsia"/>
                <w:lang w:val="en-US" w:eastAsia="zh-CN"/>
              </w:rPr>
              <w:t>人员</w:t>
            </w:r>
            <w:r>
              <w:rPr>
                <w:rFonts w:hint="eastAsia"/>
              </w:rPr>
              <w:t>，高层管理人员应参加演练工作；</w:t>
            </w:r>
          </w:p>
          <w:p>
            <w:pPr>
              <w:ind w:firstLine="0" w:firstLineChars="0"/>
            </w:pPr>
            <w:r>
              <w:rPr>
                <w:rFonts w:hint="eastAsia"/>
              </w:rPr>
              <w:t>b）演练后及时填写应急演练记录，进行评估演练效果，建立演练文档（影像、文字等）；</w:t>
            </w:r>
          </w:p>
          <w:p>
            <w:pPr>
              <w:ind w:firstLine="0" w:firstLineChars="0"/>
            </w:pPr>
            <w:r>
              <w:rPr>
                <w:rFonts w:hint="eastAsia"/>
              </w:rPr>
              <w:t>c）根据应急演练评估结果和实际情况及时修订和完善应急预案并发布实施</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a）无应急预案演练计划扣 5 分，无应急演练方案扣 8 分，</w:t>
            </w:r>
            <w:r>
              <w:rPr>
                <w:rFonts w:hint="eastAsia"/>
                <w:lang w:eastAsia="zh-CN"/>
              </w:rPr>
              <w:t>单位技术负责人、</w:t>
            </w:r>
            <w:r>
              <w:rPr>
                <w:rFonts w:hint="eastAsia"/>
              </w:rPr>
              <w:t>高层管理人员未参加演练每次扣 10 分，演练项目、次数每少一次扣 5 分；</w:t>
            </w:r>
          </w:p>
          <w:p>
            <w:pPr>
              <w:ind w:firstLine="0" w:firstLineChars="0"/>
            </w:pPr>
            <w:r>
              <w:rPr>
                <w:rFonts w:hint="eastAsia"/>
              </w:rPr>
              <w:t>b）无评估报告扣 5 分，评估报告未认真总结问题或未提出改进措施扣 2 分，未建立演练文档扣 5 分；</w:t>
            </w:r>
          </w:p>
          <w:p>
            <w:pPr>
              <w:ind w:firstLine="0" w:firstLineChars="0"/>
            </w:pPr>
            <w:r>
              <w:rPr>
                <w:rFonts w:hint="eastAsia"/>
              </w:rPr>
              <w:t>c）未根据评估结果修订应急预案或应急处置措施的一处扣 2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559"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7.6事故救援</w:t>
            </w:r>
          </w:p>
        </w:tc>
        <w:tc>
          <w:tcPr>
            <w:tcW w:w="571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应急预案应有启动相关应急预案、需要扩大响应时应请求应急支援等事故救援内容</w:t>
            </w:r>
          </w:p>
        </w:tc>
        <w:tc>
          <w:tcPr>
            <w:tcW w:w="4620"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应急预案中事故救援不符合规定不得分，内容不齐全扣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pPr>
            <w:r>
              <w:rPr>
                <w:rFonts w:hint="eastAsia" w:ascii="宋体" w:hAnsi="宋体" w:cs="宋体"/>
                <w:kern w:val="0"/>
                <w:szCs w:val="21"/>
              </w:rPr>
              <w:t>5分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708" w:hRule="atLeast"/>
        </w:trPr>
        <w:tc>
          <w:tcPr>
            <w:tcW w:w="14653" w:type="dxa"/>
            <w:gridSpan w:val="10"/>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ascii="宋体" w:hAnsi="宋体" w:cs="宋体"/>
                <w:b/>
                <w:kern w:val="0"/>
                <w:sz w:val="24"/>
              </w:rPr>
              <w:t>8 事故报告与调查处理(50分)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gridAfter w:val="1"/>
          <w:wAfter w:w="30" w:type="dxa"/>
          <w:trHeight w:val="662"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34"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605"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kern w:val="0"/>
                <w:szCs w:val="21"/>
              </w:rPr>
            </w:pPr>
            <w:r>
              <w:rPr>
                <w:rFonts w:hint="eastAsia"/>
                <w:sz w:val="24"/>
              </w:rPr>
              <w:t>应得分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gridAfter w:val="1"/>
          <w:wAfter w:w="30" w:type="dxa"/>
          <w:trHeight w:val="1258"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8.1事故报告</w:t>
            </w:r>
          </w:p>
        </w:tc>
        <w:tc>
          <w:tcPr>
            <w:tcW w:w="5734"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rPr>
                <w:rFonts w:hint="eastAsia" w:eastAsia="宋体"/>
                <w:lang w:eastAsia="zh-CN"/>
              </w:rPr>
            </w:pPr>
            <w:r>
              <w:rPr>
                <w:rFonts w:hint="eastAsia"/>
              </w:rPr>
              <w:t>按照 《生产安全事故报告和调查处理条例》 《生产安全事故信息报告和处置办法》和爆破行业的要求，明确事故报告和处理程序、责任部门、责任人，按照国家和民爆行业有关规定及时、如实向有关部门报告事故，并保护事故现场及有关证据。按事故报告要求上报事故报表</w:t>
            </w:r>
            <w:r>
              <w:rPr>
                <w:rFonts w:hint="eastAsia"/>
                <w:lang w:eastAsia="zh-CN"/>
              </w:rPr>
              <w:t>。</w:t>
            </w:r>
          </w:p>
        </w:tc>
        <w:tc>
          <w:tcPr>
            <w:tcW w:w="4605"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未及时报告不得分，未有效保护现场及有关证据扣 10 分，报告的事故信息内容和形式与规定不相符扣 2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20分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1482" w:hRule="atLeast"/>
        </w:trPr>
        <w:tc>
          <w:tcPr>
            <w:tcW w:w="1193" w:type="dxa"/>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8.2事故调查和处理</w:t>
            </w:r>
          </w:p>
        </w:tc>
        <w:tc>
          <w:tcPr>
            <w:tcW w:w="5734" w:type="dxa"/>
            <w:gridSpan w:val="3"/>
            <w:tcBorders>
              <w:top w:val="single" w:color="000000" w:sz="4" w:space="0"/>
              <w:left w:val="single" w:color="000000" w:sz="4" w:space="0"/>
              <w:right w:val="single" w:color="000000" w:sz="4" w:space="0"/>
            </w:tcBorders>
            <w:vAlign w:val="center"/>
          </w:tcPr>
          <w:p>
            <w:pPr>
              <w:ind w:firstLine="0" w:firstLineChars="0"/>
            </w:pPr>
            <w:r>
              <w:rPr>
                <w:rFonts w:hint="eastAsia"/>
              </w:rPr>
              <w:t>a）配合</w:t>
            </w:r>
            <w:r>
              <w:rPr>
                <w:rFonts w:hint="eastAsia"/>
                <w:lang w:eastAsia="zh-CN"/>
              </w:rPr>
              <w:t>当地党委政府或有关部门的</w:t>
            </w:r>
            <w:r>
              <w:rPr>
                <w:rFonts w:hint="eastAsia"/>
              </w:rPr>
              <w:t>事故调查；</w:t>
            </w:r>
          </w:p>
          <w:p>
            <w:pPr>
              <w:ind w:firstLine="0" w:firstLineChars="0"/>
            </w:pPr>
            <w:r>
              <w:rPr>
                <w:rFonts w:hint="eastAsia"/>
              </w:rPr>
              <w:t>b）按照“四不放过”原则进行事故处理，落实事故整改和预防措施，向全体从业人员通报事故原因、事故教训等内容</w:t>
            </w:r>
          </w:p>
        </w:tc>
        <w:tc>
          <w:tcPr>
            <w:tcW w:w="4605" w:type="dxa"/>
            <w:gridSpan w:val="2"/>
            <w:tcBorders>
              <w:top w:val="single" w:color="000000" w:sz="4" w:space="0"/>
              <w:left w:val="single" w:color="000000" w:sz="4" w:space="0"/>
              <w:right w:val="single" w:color="000000" w:sz="4" w:space="0"/>
            </w:tcBorders>
            <w:vAlign w:val="center"/>
          </w:tcPr>
          <w:p>
            <w:pPr>
              <w:ind w:firstLine="0" w:firstLineChars="0"/>
            </w:pPr>
            <w:r>
              <w:rPr>
                <w:rFonts w:hint="eastAsia"/>
              </w:rPr>
              <w:t>a）不配合事故调查不得分；</w:t>
            </w:r>
          </w:p>
          <w:p>
            <w:pPr>
              <w:ind w:firstLine="0" w:firstLineChars="0"/>
              <w:rPr>
                <w:b/>
              </w:rPr>
            </w:pPr>
            <w:r>
              <w:rPr>
                <w:rFonts w:hint="eastAsia"/>
              </w:rPr>
              <w:t>b）未按“四不放过”原则处理扣 10 分</w:t>
            </w:r>
          </w:p>
        </w:tc>
        <w:tc>
          <w:tcPr>
            <w:tcW w:w="989" w:type="dxa"/>
            <w:tcBorders>
              <w:top w:val="single" w:color="000000" w:sz="4" w:space="0"/>
              <w:left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20分</w:t>
            </w:r>
          </w:p>
        </w:tc>
        <w:tc>
          <w:tcPr>
            <w:tcW w:w="1038" w:type="dxa"/>
            <w:gridSpan w:val="2"/>
            <w:tcBorders>
              <w:top w:val="single" w:color="000000" w:sz="4" w:space="0"/>
              <w:left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794"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8.3事故档案和统计分析</w:t>
            </w:r>
          </w:p>
        </w:tc>
        <w:tc>
          <w:tcPr>
            <w:tcW w:w="5734" w:type="dxa"/>
            <w:gridSpan w:val="3"/>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a）建立事故档案，包括视频、照片和文档等；</w:t>
            </w:r>
          </w:p>
          <w:p>
            <w:pPr>
              <w:ind w:firstLine="0" w:firstLineChars="0"/>
            </w:pPr>
            <w:r>
              <w:rPr>
                <w:rFonts w:hint="eastAsia"/>
              </w:rPr>
              <w:t>b）按企业规定定期应用统计分析技术编制工伤事故的分析报告，绘制历年来工伤事故频率图，有历年来工伤事故性质的分析和措施</w:t>
            </w:r>
          </w:p>
        </w:tc>
        <w:tc>
          <w:tcPr>
            <w:tcW w:w="4605"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a）无事故档案的不得分，事故档案不规范、内容不全扣 2 分；</w:t>
            </w:r>
          </w:p>
          <w:p>
            <w:pPr>
              <w:ind w:firstLine="0" w:firstLineChars="0"/>
            </w:pPr>
            <w:r>
              <w:rPr>
                <w:rFonts w:hint="eastAsia"/>
              </w:rPr>
              <w:t>b）无历年工伤事故频率图扣 5 分，图表不规范扣 2 分，无事故分析报告扣 4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rPr>
              <w:t>10</w:t>
            </w:r>
            <w:r>
              <w:rPr>
                <w:rFonts w:hint="eastAsia" w:ascii="宋体" w:hAnsi="宋体" w:cs="宋体"/>
                <w:kern w:val="0"/>
                <w:szCs w:val="21"/>
              </w:rPr>
              <w:t>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0" w:firstLineChars="0"/>
            </w:pPr>
          </w:p>
        </w:tc>
      </w:tr>
      <w:tr>
        <w:tblPrEx>
          <w:tblLayout w:type="fixed"/>
          <w:tblCellMar>
            <w:top w:w="0" w:type="dxa"/>
            <w:left w:w="108" w:type="dxa"/>
            <w:bottom w:w="0" w:type="dxa"/>
            <w:right w:w="108" w:type="dxa"/>
          </w:tblCellMar>
        </w:tblPrEx>
        <w:trPr>
          <w:gridAfter w:val="1"/>
          <w:wAfter w:w="30" w:type="dxa"/>
          <w:trHeight w:val="650" w:hRule="atLeast"/>
        </w:trPr>
        <w:tc>
          <w:tcPr>
            <w:tcW w:w="14653" w:type="dxa"/>
            <w:gridSpan w:val="10"/>
            <w:tcBorders>
              <w:top w:val="single" w:color="000000" w:sz="4" w:space="0"/>
              <w:left w:val="single" w:color="000000" w:sz="4" w:space="0"/>
              <w:bottom w:val="single" w:color="000000" w:sz="4" w:space="0"/>
              <w:right w:val="single" w:color="000000" w:sz="4" w:space="0"/>
            </w:tcBorders>
            <w:vAlign w:val="center"/>
          </w:tcPr>
          <w:p>
            <w:pPr>
              <w:ind w:firstLine="0" w:firstLineChars="0"/>
              <w:rPr>
                <w:b/>
                <w:bCs/>
              </w:rPr>
            </w:pPr>
            <w:r>
              <w:rPr>
                <w:rFonts w:hint="eastAsia" w:ascii="宋体" w:hAnsi="宋体" w:cs="宋体"/>
                <w:b/>
                <w:kern w:val="0"/>
                <w:sz w:val="24"/>
              </w:rPr>
              <w:t>9 绩效评定与持续改进(30分)</w:t>
            </w:r>
            <w:r>
              <w:rPr>
                <w:rFonts w:hint="eastAsia" w:ascii="宋体" w:hAnsi="宋体" w:cs="宋体"/>
                <w:kern w:val="0"/>
                <w:szCs w:val="21"/>
              </w:rPr>
              <w:t>（自评/考核得分          分）</w:t>
            </w:r>
          </w:p>
        </w:tc>
      </w:tr>
      <w:tr>
        <w:tblPrEx>
          <w:tblLayout w:type="fixed"/>
          <w:tblCellMar>
            <w:top w:w="0" w:type="dxa"/>
            <w:left w:w="108" w:type="dxa"/>
            <w:bottom w:w="0" w:type="dxa"/>
            <w:right w:w="108" w:type="dxa"/>
          </w:tblCellMar>
        </w:tblPrEx>
        <w:trPr>
          <w:gridAfter w:val="1"/>
          <w:wAfter w:w="30" w:type="dxa"/>
          <w:trHeight w:val="639"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kern w:val="0"/>
                <w:szCs w:val="21"/>
              </w:rPr>
            </w:pPr>
            <w:r>
              <w:rPr>
                <w:rFonts w:hint="eastAsia"/>
                <w:sz w:val="24"/>
              </w:rPr>
              <w:t>考评项目</w:t>
            </w:r>
          </w:p>
        </w:tc>
        <w:tc>
          <w:tcPr>
            <w:tcW w:w="5749" w:type="dxa"/>
            <w:gridSpan w:val="4"/>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考评标准</w:t>
            </w:r>
          </w:p>
        </w:tc>
        <w:tc>
          <w:tcPr>
            <w:tcW w:w="4590"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评分方法</w:t>
            </w:r>
          </w:p>
        </w:tc>
        <w:tc>
          <w:tcPr>
            <w:tcW w:w="98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rFonts w:ascii="宋体" w:hAnsi="宋体" w:cs="宋体"/>
                <w:kern w:val="0"/>
                <w:szCs w:val="21"/>
              </w:rPr>
            </w:pPr>
            <w:r>
              <w:rPr>
                <w:rFonts w:hint="eastAsia"/>
                <w:sz w:val="24"/>
              </w:rPr>
              <w:t>应得分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实得分</w:t>
            </w: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pPr>
            <w:r>
              <w:rPr>
                <w:rFonts w:hint="eastAsia"/>
                <w:sz w:val="24"/>
              </w:rPr>
              <w:t>备注</w:t>
            </w:r>
          </w:p>
        </w:tc>
      </w:tr>
      <w:tr>
        <w:tblPrEx>
          <w:tblLayout w:type="fixed"/>
          <w:tblCellMar>
            <w:top w:w="0" w:type="dxa"/>
            <w:left w:w="108" w:type="dxa"/>
            <w:bottom w:w="0" w:type="dxa"/>
            <w:right w:w="108" w:type="dxa"/>
          </w:tblCellMar>
        </w:tblPrEx>
        <w:trPr>
          <w:gridAfter w:val="1"/>
          <w:wAfter w:w="30" w:type="dxa"/>
          <w:trHeight w:val="4368" w:hRule="atLeast"/>
        </w:trPr>
        <w:tc>
          <w:tcPr>
            <w:tcW w:w="1193" w:type="dxa"/>
            <w:tcBorders>
              <w:top w:val="single" w:color="000000" w:sz="4" w:space="0"/>
              <w:left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9.1绩效评定</w:t>
            </w:r>
          </w:p>
        </w:tc>
        <w:tc>
          <w:tcPr>
            <w:tcW w:w="5749" w:type="dxa"/>
            <w:gridSpan w:val="4"/>
            <w:tcBorders>
              <w:top w:val="single" w:color="000000" w:sz="4" w:space="0"/>
              <w:left w:val="single" w:color="000000" w:sz="4" w:space="0"/>
              <w:right w:val="single" w:color="000000" w:sz="4" w:space="0"/>
            </w:tcBorders>
            <w:vAlign w:val="center"/>
          </w:tcPr>
          <w:p>
            <w:pPr>
              <w:ind w:firstLine="0" w:firstLineChars="0"/>
            </w:pPr>
            <w:r>
              <w:rPr>
                <w:rFonts w:hint="eastAsia"/>
              </w:rPr>
              <w:t>a）建立安全生产标准化绩效评定和持续改进管理制度，内容包括安全生产目标完成情况、现场安全管理状况与安全生产标准化的符合情况、安全管理措施计划的落实情况的测量评估部门及职责、方法、周期、报告和处置等要求，绩效测量评估指标应可监测和量化；</w:t>
            </w:r>
          </w:p>
          <w:p>
            <w:pPr>
              <w:ind w:firstLine="0" w:firstLineChars="0"/>
            </w:pPr>
            <w:r>
              <w:rPr>
                <w:rFonts w:hint="eastAsia"/>
              </w:rPr>
              <w:t>b）每年应至少一次对安全生产标准化实施情况进行测量与评定，并形成正式的测量与评定报告。发生死亡事故或生产工艺发生重大变化应重新进行评定；</w:t>
            </w:r>
          </w:p>
          <w:p>
            <w:pPr>
              <w:ind w:firstLine="0" w:firstLineChars="0"/>
            </w:pPr>
            <w:r>
              <w:rPr>
                <w:rFonts w:hint="eastAsia"/>
              </w:rPr>
              <w:t>c）评定结果应向所有部门、所属单位和从业人员通报；</w:t>
            </w:r>
          </w:p>
          <w:p>
            <w:pPr>
              <w:ind w:firstLine="0" w:firstLineChars="0"/>
            </w:pPr>
            <w:r>
              <w:rPr>
                <w:rFonts w:hint="eastAsia"/>
              </w:rPr>
              <w:t>d）将安全生产标准化实施情况的测量与评定结果纳入部门、所属单位、员工年度安全绩效考评；</w:t>
            </w:r>
          </w:p>
          <w:p>
            <w:pPr>
              <w:ind w:firstLine="0" w:firstLineChars="0"/>
              <w:rPr>
                <w:rFonts w:hint="eastAsia" w:eastAsia="宋体"/>
                <w:lang w:eastAsia="zh-CN"/>
              </w:rPr>
            </w:pPr>
            <w:r>
              <w:rPr>
                <w:rFonts w:hint="eastAsia"/>
              </w:rPr>
              <w:t>e）每年召开安全生产标准化工作会议，对安全生产工作的先进集体和个人进行表彰奖励，对违规违纪行为进行处罚和责任制考核。有年度安全生产工作总结</w:t>
            </w:r>
            <w:r>
              <w:rPr>
                <w:rFonts w:hint="eastAsia"/>
                <w:lang w:eastAsia="zh-CN"/>
              </w:rPr>
              <w:t>。</w:t>
            </w:r>
          </w:p>
        </w:tc>
        <w:tc>
          <w:tcPr>
            <w:tcW w:w="4590" w:type="dxa"/>
            <w:tcBorders>
              <w:top w:val="single" w:color="000000" w:sz="4" w:space="0"/>
              <w:left w:val="single" w:color="000000" w:sz="4" w:space="0"/>
              <w:right w:val="single" w:color="000000" w:sz="4" w:space="0"/>
            </w:tcBorders>
            <w:vAlign w:val="center"/>
          </w:tcPr>
          <w:p>
            <w:pPr>
              <w:ind w:firstLine="0" w:firstLineChars="0"/>
            </w:pPr>
            <w:r>
              <w:rPr>
                <w:rFonts w:hint="eastAsia"/>
              </w:rPr>
              <w:t>a）无制度的不得分，制度中每缺少一项要求扣2 分、制度缺乏可操作性和针对性扣 3 分；</w:t>
            </w:r>
          </w:p>
          <w:p>
            <w:pPr>
              <w:ind w:firstLine="0" w:firstLineChars="0"/>
            </w:pPr>
            <w:r>
              <w:rPr>
                <w:rFonts w:hint="eastAsia"/>
              </w:rPr>
              <w:t>b）评定周期少于每年一次的，无测量与评定报告或未形成正式文件不得分，发生死亡事故后或生产工艺发生重大变化未及时重新进行安全标准化系统评定不得分；</w:t>
            </w:r>
          </w:p>
          <w:p>
            <w:pPr>
              <w:ind w:firstLine="0" w:firstLineChars="0"/>
            </w:pPr>
            <w:r>
              <w:rPr>
                <w:rFonts w:hint="eastAsia"/>
              </w:rPr>
              <w:t>c）评定结果未向所有部门、所属单位和从业人员通报扣 10 分；</w:t>
            </w:r>
          </w:p>
          <w:p>
            <w:pPr>
              <w:ind w:firstLine="0" w:firstLineChars="0"/>
            </w:pPr>
            <w:r>
              <w:rPr>
                <w:rFonts w:hint="eastAsia"/>
              </w:rPr>
              <w:t>d）未将测量与评定结果纳入年度安全绩效考评扣 10 分；</w:t>
            </w:r>
          </w:p>
          <w:p>
            <w:pPr>
              <w:ind w:firstLine="0" w:firstLineChars="0"/>
            </w:pPr>
            <w:r>
              <w:rPr>
                <w:rFonts w:hint="eastAsia"/>
              </w:rPr>
              <w:t>e）未进行表彰、奖惩和总结扣 5 分</w:t>
            </w:r>
          </w:p>
        </w:tc>
        <w:tc>
          <w:tcPr>
            <w:tcW w:w="989" w:type="dxa"/>
            <w:tcBorders>
              <w:top w:val="single" w:color="000000" w:sz="4" w:space="0"/>
              <w:left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20分</w:t>
            </w:r>
          </w:p>
        </w:tc>
        <w:tc>
          <w:tcPr>
            <w:tcW w:w="1038" w:type="dxa"/>
            <w:gridSpan w:val="2"/>
            <w:tcBorders>
              <w:top w:val="single" w:color="000000" w:sz="4" w:space="0"/>
              <w:left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right w:val="single" w:color="000000" w:sz="4" w:space="0"/>
            </w:tcBorders>
            <w:vAlign w:val="center"/>
          </w:tcPr>
          <w:p>
            <w:pPr>
              <w:ind w:firstLine="420"/>
            </w:pPr>
          </w:p>
        </w:tc>
      </w:tr>
      <w:tr>
        <w:tblPrEx>
          <w:tblLayout w:type="fixed"/>
          <w:tblCellMar>
            <w:top w:w="0" w:type="dxa"/>
            <w:left w:w="108" w:type="dxa"/>
            <w:bottom w:w="0" w:type="dxa"/>
            <w:right w:w="108" w:type="dxa"/>
          </w:tblCellMar>
        </w:tblPrEx>
        <w:trPr>
          <w:gridAfter w:val="1"/>
          <w:wAfter w:w="30" w:type="dxa"/>
          <w:trHeight w:val="1797" w:hRule="atLeast"/>
        </w:trPr>
        <w:tc>
          <w:tcPr>
            <w:tcW w:w="1193"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rPr>
                <w:rFonts w:ascii="宋体" w:hAnsi="宋体" w:cs="宋体"/>
                <w:szCs w:val="21"/>
              </w:rPr>
            </w:pPr>
            <w:r>
              <w:rPr>
                <w:rFonts w:hint="eastAsia" w:ascii="宋体" w:hAnsi="宋体" w:cs="宋体"/>
                <w:kern w:val="0"/>
                <w:szCs w:val="21"/>
              </w:rPr>
              <w:t>9.2持续改进</w:t>
            </w:r>
          </w:p>
        </w:tc>
        <w:tc>
          <w:tcPr>
            <w:tcW w:w="5749" w:type="dxa"/>
            <w:gridSpan w:val="4"/>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a）根据安全生产标准化的评定结果和安全生产预警指数系统所反映的趋势，找出存在的问题及隐患，对安全生产目标、指标、制度、操作规程等内容进行修改完善；</w:t>
            </w:r>
          </w:p>
          <w:p>
            <w:pPr>
              <w:ind w:firstLine="0" w:firstLineChars="0"/>
            </w:pPr>
            <w:r>
              <w:rPr>
                <w:rFonts w:hint="eastAsia"/>
              </w:rPr>
              <w:t>b）制定完善安全生产标准化的工作计划和措施，应用 PDCA 等管理方法，持续改进，不断提高安全绩效</w:t>
            </w:r>
          </w:p>
        </w:tc>
        <w:tc>
          <w:tcPr>
            <w:tcW w:w="4590" w:type="dxa"/>
            <w:tcBorders>
              <w:top w:val="single" w:color="000000" w:sz="4" w:space="0"/>
              <w:left w:val="single" w:color="000000" w:sz="4" w:space="0"/>
              <w:bottom w:val="single" w:color="000000" w:sz="4" w:space="0"/>
              <w:right w:val="single" w:color="000000" w:sz="4" w:space="0"/>
            </w:tcBorders>
            <w:vAlign w:val="center"/>
          </w:tcPr>
          <w:p>
            <w:pPr>
              <w:ind w:firstLine="0" w:firstLineChars="0"/>
            </w:pPr>
            <w:r>
              <w:rPr>
                <w:rFonts w:hint="eastAsia"/>
              </w:rPr>
              <w:t>a）未建立问题及隐患清单扣 10 分,测量与评定结果与实际不符或缺项每有一项扣 2分；</w:t>
            </w:r>
          </w:p>
          <w:p>
            <w:pPr>
              <w:ind w:firstLine="0" w:firstLineChars="0"/>
            </w:pPr>
            <w:r>
              <w:rPr>
                <w:rFonts w:hint="eastAsia"/>
              </w:rPr>
              <w:t>b）未制定持续改进安全标准化工作计划和措施扣 10 分，未采用 PDCA 法等管理方法扣 5 分，实施 PDCA 的工作计划与安全生产标准化的测量与评定结果内容不一致扣 5 分</w:t>
            </w:r>
          </w:p>
        </w:tc>
        <w:tc>
          <w:tcPr>
            <w:tcW w:w="989" w:type="dxa"/>
            <w:tcBorders>
              <w:top w:val="single" w:color="000000" w:sz="4" w:space="0"/>
              <w:left w:val="single" w:color="000000" w:sz="4" w:space="0"/>
              <w:bottom w:val="single" w:color="000000" w:sz="4" w:space="0"/>
              <w:right w:val="single" w:color="000000" w:sz="4" w:space="0"/>
            </w:tcBorders>
            <w:vAlign w:val="center"/>
          </w:tcPr>
          <w:p>
            <w:pPr>
              <w:widowControl/>
              <w:ind w:firstLine="0" w:firstLineChars="0"/>
              <w:jc w:val="center"/>
              <w:textAlignment w:val="center"/>
            </w:pPr>
            <w:r>
              <w:rPr>
                <w:rFonts w:hint="eastAsia" w:ascii="宋体" w:hAnsi="宋体" w:cs="宋体"/>
                <w:kern w:val="0"/>
                <w:szCs w:val="21"/>
              </w:rPr>
              <w:t>10分</w:t>
            </w:r>
          </w:p>
        </w:tc>
        <w:tc>
          <w:tcPr>
            <w:tcW w:w="1038" w:type="dxa"/>
            <w:gridSpan w:val="2"/>
            <w:tcBorders>
              <w:top w:val="single" w:color="000000" w:sz="4" w:space="0"/>
              <w:left w:val="single" w:color="000000" w:sz="4" w:space="0"/>
              <w:bottom w:val="single" w:color="000000" w:sz="4" w:space="0"/>
              <w:right w:val="single" w:color="000000" w:sz="4" w:space="0"/>
            </w:tcBorders>
            <w:vAlign w:val="center"/>
          </w:tcPr>
          <w:p>
            <w:pPr>
              <w:ind w:firstLine="420"/>
            </w:pPr>
          </w:p>
        </w:tc>
        <w:tc>
          <w:tcPr>
            <w:tcW w:w="1094" w:type="dxa"/>
            <w:tcBorders>
              <w:top w:val="single" w:color="000000" w:sz="4" w:space="0"/>
              <w:left w:val="single" w:color="000000" w:sz="4" w:space="0"/>
              <w:bottom w:val="single" w:color="000000" w:sz="4" w:space="0"/>
              <w:right w:val="single" w:color="000000" w:sz="4" w:space="0"/>
            </w:tcBorders>
            <w:vAlign w:val="center"/>
          </w:tcPr>
          <w:p>
            <w:pPr>
              <w:ind w:firstLine="420"/>
            </w:pPr>
          </w:p>
        </w:tc>
      </w:tr>
    </w:tbl>
    <w:p>
      <w:pPr>
        <w:ind w:left="0" w:leftChars="0" w:firstLine="0" w:firstLineChars="0"/>
      </w:pPr>
    </w:p>
    <w:p>
      <w:pPr>
        <w:ind w:firstLine="420"/>
      </w:pPr>
    </w:p>
    <w:sectPr>
      <w:pgSz w:w="16838" w:h="11906" w:orient="landscape"/>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w:pict>
        <v:shape id="Quad Arrow 2" o:spid="_x0000_s4097" o:spt="202" type="#_x0000_t202" style="position:absolute;left:0pt;margin-top:0pt;height:144pt;width:144pt;mso-position-horizontal:center;mso-position-horizontal-relative:margin;mso-wrap-style:none;z-index:1024;mso-width-relative:page;mso-height-relative:page;" filled="f" o:preferrelative="t" stroked="f" coordsize="21600,21600">
          <v:path/>
          <v:fill on="f" focussize="0,0"/>
          <v:stroke on="f" joinstyle="miter"/>
          <v:imagedata o:title=""/>
          <o:lock v:ext="edit"/>
          <v:textbox inset="0mm,0mm,0mm,0mm" style="mso-fit-shape-to-text:t;">
            <w:txbxContent>
              <w:p>
                <w:pPr>
                  <w:pStyle w:val="4"/>
                  <w:ind w:firstLine="36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0FDCE"/>
    <w:multiLevelType w:val="singleLevel"/>
    <w:tmpl w:val="6420FDCE"/>
    <w:lvl w:ilvl="0" w:tentative="0">
      <w:start w:val="1"/>
      <w:numFmt w:val="lowerLetter"/>
      <w:suff w:val="nothing"/>
      <w:lvlText w:val="%1）"/>
      <w:lvlJc w:val="left"/>
    </w:lvl>
  </w:abstractNum>
  <w:abstractNum w:abstractNumId="1">
    <w:nsid w:val="64239334"/>
    <w:multiLevelType w:val="singleLevel"/>
    <w:tmpl w:val="64239334"/>
    <w:lvl w:ilvl="0" w:tentative="0">
      <w:start w:val="1"/>
      <w:numFmt w:val="lowerLetter"/>
      <w:suff w:val="nothing"/>
      <w:lvlText w:val="%1）"/>
      <w:lvlJc w:val="left"/>
    </w:lvl>
  </w:abstractNum>
  <w:abstractNum w:abstractNumId="2">
    <w:nsid w:val="6423B363"/>
    <w:multiLevelType w:val="singleLevel"/>
    <w:tmpl w:val="6423B363"/>
    <w:lvl w:ilvl="0" w:tentative="0">
      <w:start w:val="1"/>
      <w:numFmt w:val="lowerLetter"/>
      <w:suff w:val="nothing"/>
      <w:lvlText w:val="%1）"/>
      <w:lvlJc w:val="left"/>
    </w:lvl>
  </w:abstractNum>
  <w:abstractNum w:abstractNumId="3">
    <w:nsid w:val="6423B4B2"/>
    <w:multiLevelType w:val="singleLevel"/>
    <w:tmpl w:val="6423B4B2"/>
    <w:lvl w:ilvl="0" w:tentative="0">
      <w:start w:val="1"/>
      <w:numFmt w:val="lowerLetter"/>
      <w:suff w:val="nothing"/>
      <w:lvlText w:val="%1）"/>
      <w:lvlJc w:val="left"/>
    </w:lvl>
  </w:abstractNum>
  <w:abstractNum w:abstractNumId="4">
    <w:nsid w:val="6423BC51"/>
    <w:multiLevelType w:val="singleLevel"/>
    <w:tmpl w:val="6423BC51"/>
    <w:lvl w:ilvl="0" w:tentative="0">
      <w:start w:val="1"/>
      <w:numFmt w:val="lowerLetter"/>
      <w:suff w:val="nothing"/>
      <w:lvlText w:val="%1）"/>
      <w:lvlJc w:val="left"/>
    </w:lvl>
  </w:abstractNum>
  <w:abstractNum w:abstractNumId="5">
    <w:nsid w:val="6423E5E9"/>
    <w:multiLevelType w:val="singleLevel"/>
    <w:tmpl w:val="6423E5E9"/>
    <w:lvl w:ilvl="0" w:tentative="0">
      <w:start w:val="1"/>
      <w:numFmt w:val="lowerLetter"/>
      <w:suff w:val="nothing"/>
      <w:lvlText w:val="%1）"/>
      <w:lvlJc w:val="left"/>
    </w:lvl>
  </w:abstractNum>
  <w:abstractNum w:abstractNumId="6">
    <w:nsid w:val="6423FBC3"/>
    <w:multiLevelType w:val="singleLevel"/>
    <w:tmpl w:val="6423FBC3"/>
    <w:lvl w:ilvl="0" w:tentative="0">
      <w:start w:val="1"/>
      <w:numFmt w:val="lowerLetter"/>
      <w:suff w:val="nothing"/>
      <w:lvlText w:val="%1）"/>
      <w:lvlJc w:val="left"/>
    </w:lvl>
  </w:abstractNum>
  <w:num w:numId="1">
    <w:abstractNumId w:val="6"/>
  </w:num>
  <w:num w:numId="2">
    <w:abstractNumId w:val="5"/>
  </w:num>
  <w:num w:numId="3">
    <w:abstractNumId w:val="1"/>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GMxMDA0NTZlMTJkM2YwYzEzODZmOTk4ODNkMjk0ODkifQ=="/>
  </w:docVars>
  <w:rsids>
    <w:rsidRoot w:val="00CC4C86"/>
    <w:rsid w:val="00022F60"/>
    <w:rsid w:val="00034B92"/>
    <w:rsid w:val="000B4682"/>
    <w:rsid w:val="000D7B13"/>
    <w:rsid w:val="00141C35"/>
    <w:rsid w:val="00182BB6"/>
    <w:rsid w:val="002044CD"/>
    <w:rsid w:val="00281586"/>
    <w:rsid w:val="002C18D1"/>
    <w:rsid w:val="003243F0"/>
    <w:rsid w:val="00324FF6"/>
    <w:rsid w:val="003A6E2C"/>
    <w:rsid w:val="004202B4"/>
    <w:rsid w:val="00424B47"/>
    <w:rsid w:val="00491C13"/>
    <w:rsid w:val="004D0640"/>
    <w:rsid w:val="00532237"/>
    <w:rsid w:val="00563A66"/>
    <w:rsid w:val="00627EE0"/>
    <w:rsid w:val="00637BF5"/>
    <w:rsid w:val="00640154"/>
    <w:rsid w:val="006F2C45"/>
    <w:rsid w:val="00750C31"/>
    <w:rsid w:val="007F49A0"/>
    <w:rsid w:val="008170C7"/>
    <w:rsid w:val="00820F8A"/>
    <w:rsid w:val="0083799F"/>
    <w:rsid w:val="0085218E"/>
    <w:rsid w:val="008A6147"/>
    <w:rsid w:val="0091549E"/>
    <w:rsid w:val="0092387E"/>
    <w:rsid w:val="00956523"/>
    <w:rsid w:val="00A0135E"/>
    <w:rsid w:val="00A3477B"/>
    <w:rsid w:val="00A81774"/>
    <w:rsid w:val="00AA4743"/>
    <w:rsid w:val="00AD16EA"/>
    <w:rsid w:val="00B37324"/>
    <w:rsid w:val="00B5245D"/>
    <w:rsid w:val="00B52DDE"/>
    <w:rsid w:val="00B7444B"/>
    <w:rsid w:val="00B83F97"/>
    <w:rsid w:val="00BE6D23"/>
    <w:rsid w:val="00C26EA3"/>
    <w:rsid w:val="00CC4C86"/>
    <w:rsid w:val="00D23CE1"/>
    <w:rsid w:val="00D451CF"/>
    <w:rsid w:val="00D829D0"/>
    <w:rsid w:val="00D86C39"/>
    <w:rsid w:val="00DC4DCE"/>
    <w:rsid w:val="00E37AD9"/>
    <w:rsid w:val="00E83FF5"/>
    <w:rsid w:val="00ED737A"/>
    <w:rsid w:val="00F61C23"/>
    <w:rsid w:val="00F75907"/>
    <w:rsid w:val="00F90E01"/>
    <w:rsid w:val="02CD2724"/>
    <w:rsid w:val="030A2589"/>
    <w:rsid w:val="033049C7"/>
    <w:rsid w:val="044B62FC"/>
    <w:rsid w:val="0475505E"/>
    <w:rsid w:val="048765FD"/>
    <w:rsid w:val="04E1218F"/>
    <w:rsid w:val="05503AC8"/>
    <w:rsid w:val="065345EF"/>
    <w:rsid w:val="06F131F4"/>
    <w:rsid w:val="076C72BA"/>
    <w:rsid w:val="079216F8"/>
    <w:rsid w:val="07C41F3C"/>
    <w:rsid w:val="07DC2DF1"/>
    <w:rsid w:val="08321601"/>
    <w:rsid w:val="085B1141"/>
    <w:rsid w:val="0889420E"/>
    <w:rsid w:val="08EB0A30"/>
    <w:rsid w:val="096B4801"/>
    <w:rsid w:val="09A536E1"/>
    <w:rsid w:val="09AA0640"/>
    <w:rsid w:val="09F54765"/>
    <w:rsid w:val="0A742AB5"/>
    <w:rsid w:val="0B537F25"/>
    <w:rsid w:val="0BCE1DED"/>
    <w:rsid w:val="0C385C19"/>
    <w:rsid w:val="0C7C5409"/>
    <w:rsid w:val="0C8B34A5"/>
    <w:rsid w:val="0D6813BA"/>
    <w:rsid w:val="0EC56247"/>
    <w:rsid w:val="0F2E01F5"/>
    <w:rsid w:val="0FB43951"/>
    <w:rsid w:val="0FB64C56"/>
    <w:rsid w:val="0FC95E75"/>
    <w:rsid w:val="10517053"/>
    <w:rsid w:val="10732A8B"/>
    <w:rsid w:val="12BA61C8"/>
    <w:rsid w:val="12FE59B8"/>
    <w:rsid w:val="13904F26"/>
    <w:rsid w:val="13C540FC"/>
    <w:rsid w:val="14501AE1"/>
    <w:rsid w:val="15491CF9"/>
    <w:rsid w:val="157A24C8"/>
    <w:rsid w:val="162921EF"/>
    <w:rsid w:val="165C0A0A"/>
    <w:rsid w:val="17442DB9"/>
    <w:rsid w:val="17A86360"/>
    <w:rsid w:val="17D9680D"/>
    <w:rsid w:val="188B4764"/>
    <w:rsid w:val="18B26813"/>
    <w:rsid w:val="18CC73BC"/>
    <w:rsid w:val="1A79617E"/>
    <w:rsid w:val="1AC54F79"/>
    <w:rsid w:val="1B5B6771"/>
    <w:rsid w:val="1B6437FD"/>
    <w:rsid w:val="1B79454F"/>
    <w:rsid w:val="1BD54386"/>
    <w:rsid w:val="1C6C4030"/>
    <w:rsid w:val="1D1A336E"/>
    <w:rsid w:val="1DF11C2D"/>
    <w:rsid w:val="20282B52"/>
    <w:rsid w:val="217527F4"/>
    <w:rsid w:val="22A06A5E"/>
    <w:rsid w:val="237E4DC7"/>
    <w:rsid w:val="23E70F73"/>
    <w:rsid w:val="25214E1B"/>
    <w:rsid w:val="25B4606C"/>
    <w:rsid w:val="26DA5E4E"/>
    <w:rsid w:val="26DB004C"/>
    <w:rsid w:val="2702378F"/>
    <w:rsid w:val="270A0B9B"/>
    <w:rsid w:val="271201A6"/>
    <w:rsid w:val="273C266F"/>
    <w:rsid w:val="27A12394"/>
    <w:rsid w:val="27A45517"/>
    <w:rsid w:val="281F2C62"/>
    <w:rsid w:val="28AD7F47"/>
    <w:rsid w:val="296A001F"/>
    <w:rsid w:val="29E0703F"/>
    <w:rsid w:val="2AAC548F"/>
    <w:rsid w:val="2B6C58CD"/>
    <w:rsid w:val="2B754ED7"/>
    <w:rsid w:val="2C1E56F0"/>
    <w:rsid w:val="2D0F4C79"/>
    <w:rsid w:val="2D3C00C6"/>
    <w:rsid w:val="2EC90B52"/>
    <w:rsid w:val="2EFC58AA"/>
    <w:rsid w:val="2F2B1AF0"/>
    <w:rsid w:val="2F642F4F"/>
    <w:rsid w:val="2F797671"/>
    <w:rsid w:val="2F9D65AC"/>
    <w:rsid w:val="303A3EAC"/>
    <w:rsid w:val="30C82816"/>
    <w:rsid w:val="30F139DA"/>
    <w:rsid w:val="31476967"/>
    <w:rsid w:val="318E12DA"/>
    <w:rsid w:val="326170B4"/>
    <w:rsid w:val="334D3839"/>
    <w:rsid w:val="337C380D"/>
    <w:rsid w:val="349D0BDD"/>
    <w:rsid w:val="352D04CC"/>
    <w:rsid w:val="35A93699"/>
    <w:rsid w:val="35F40295"/>
    <w:rsid w:val="367B5BEF"/>
    <w:rsid w:val="36C33DE5"/>
    <w:rsid w:val="36C7606F"/>
    <w:rsid w:val="370D2F60"/>
    <w:rsid w:val="37795C73"/>
    <w:rsid w:val="37A80BE0"/>
    <w:rsid w:val="380F1889"/>
    <w:rsid w:val="38E31861"/>
    <w:rsid w:val="390D04A7"/>
    <w:rsid w:val="3941767C"/>
    <w:rsid w:val="399051FD"/>
    <w:rsid w:val="39A86127"/>
    <w:rsid w:val="39C51E54"/>
    <w:rsid w:val="3A0045B7"/>
    <w:rsid w:val="3A0067B6"/>
    <w:rsid w:val="3B2D5F23"/>
    <w:rsid w:val="3B8F2744"/>
    <w:rsid w:val="3BA46E66"/>
    <w:rsid w:val="3BC5739B"/>
    <w:rsid w:val="3BCB4B28"/>
    <w:rsid w:val="3BF746F2"/>
    <w:rsid w:val="3C99647A"/>
    <w:rsid w:val="3D941B95"/>
    <w:rsid w:val="3E286B85"/>
    <w:rsid w:val="3E2F1D93"/>
    <w:rsid w:val="3E5A3EDC"/>
    <w:rsid w:val="3F6E2720"/>
    <w:rsid w:val="402B6356"/>
    <w:rsid w:val="40C21D4C"/>
    <w:rsid w:val="41C917F3"/>
    <w:rsid w:val="421E2009"/>
    <w:rsid w:val="4259696B"/>
    <w:rsid w:val="429157C2"/>
    <w:rsid w:val="42E303A5"/>
    <w:rsid w:val="43446568"/>
    <w:rsid w:val="445057A1"/>
    <w:rsid w:val="44D47F78"/>
    <w:rsid w:val="451A3F70"/>
    <w:rsid w:val="45D04998"/>
    <w:rsid w:val="46336C3B"/>
    <w:rsid w:val="46547170"/>
    <w:rsid w:val="469965DF"/>
    <w:rsid w:val="46BC369C"/>
    <w:rsid w:val="47D01EDF"/>
    <w:rsid w:val="48962BA2"/>
    <w:rsid w:val="48CB55FA"/>
    <w:rsid w:val="494F3EAE"/>
    <w:rsid w:val="4A0343FD"/>
    <w:rsid w:val="4A2028F4"/>
    <w:rsid w:val="4A96396C"/>
    <w:rsid w:val="4B416613"/>
    <w:rsid w:val="4B9C0C9C"/>
    <w:rsid w:val="4BE67E16"/>
    <w:rsid w:val="4CC95E8A"/>
    <w:rsid w:val="4D9819DB"/>
    <w:rsid w:val="4D9B61E3"/>
    <w:rsid w:val="4F092D9D"/>
    <w:rsid w:val="4F2C5674"/>
    <w:rsid w:val="4F93631E"/>
    <w:rsid w:val="4FFE59CD"/>
    <w:rsid w:val="500C4CE2"/>
    <w:rsid w:val="50F93666"/>
    <w:rsid w:val="512C2BBC"/>
    <w:rsid w:val="51E348E9"/>
    <w:rsid w:val="52295F56"/>
    <w:rsid w:val="528C01F9"/>
    <w:rsid w:val="52B129B7"/>
    <w:rsid w:val="53183661"/>
    <w:rsid w:val="5344322B"/>
    <w:rsid w:val="53DB4A23"/>
    <w:rsid w:val="53FD045B"/>
    <w:rsid w:val="544D14DF"/>
    <w:rsid w:val="54CA432C"/>
    <w:rsid w:val="55170BA8"/>
    <w:rsid w:val="558E78ED"/>
    <w:rsid w:val="55A72A15"/>
    <w:rsid w:val="56902993"/>
    <w:rsid w:val="571376E9"/>
    <w:rsid w:val="588A01CF"/>
    <w:rsid w:val="59A654A4"/>
    <w:rsid w:val="5A063E1C"/>
    <w:rsid w:val="5A2D7E83"/>
    <w:rsid w:val="5A3D6C9C"/>
    <w:rsid w:val="5A84380D"/>
    <w:rsid w:val="5AB05956"/>
    <w:rsid w:val="5AE01C1E"/>
    <w:rsid w:val="5AE63C2B"/>
    <w:rsid w:val="5B713816"/>
    <w:rsid w:val="5B7E72A8"/>
    <w:rsid w:val="5C5E2199"/>
    <w:rsid w:val="5C8A64E1"/>
    <w:rsid w:val="5D075D54"/>
    <w:rsid w:val="5D5D42BA"/>
    <w:rsid w:val="5DE04894"/>
    <w:rsid w:val="5EC17405"/>
    <w:rsid w:val="5FFC0086"/>
    <w:rsid w:val="612123E7"/>
    <w:rsid w:val="61DF7322"/>
    <w:rsid w:val="61E01520"/>
    <w:rsid w:val="61EE1B3B"/>
    <w:rsid w:val="62292C19"/>
    <w:rsid w:val="629D5157"/>
    <w:rsid w:val="631C6D2A"/>
    <w:rsid w:val="63841BD1"/>
    <w:rsid w:val="63A42106"/>
    <w:rsid w:val="640721AA"/>
    <w:rsid w:val="642F0FB3"/>
    <w:rsid w:val="64312FEF"/>
    <w:rsid w:val="658B4525"/>
    <w:rsid w:val="65AA4DDA"/>
    <w:rsid w:val="669D1F4D"/>
    <w:rsid w:val="67D50BE7"/>
    <w:rsid w:val="67E66902"/>
    <w:rsid w:val="6839418E"/>
    <w:rsid w:val="687142E8"/>
    <w:rsid w:val="68C11AE9"/>
    <w:rsid w:val="691E5706"/>
    <w:rsid w:val="69FE4D74"/>
    <w:rsid w:val="6A9C00F5"/>
    <w:rsid w:val="6B2201C9"/>
    <w:rsid w:val="6B9B2216"/>
    <w:rsid w:val="6C1B186B"/>
    <w:rsid w:val="6C374B1E"/>
    <w:rsid w:val="6C386C1D"/>
    <w:rsid w:val="6C554EC8"/>
    <w:rsid w:val="6CBA7BE7"/>
    <w:rsid w:val="6D1D4911"/>
    <w:rsid w:val="6D652B07"/>
    <w:rsid w:val="6D7F411D"/>
    <w:rsid w:val="6DA16D67"/>
    <w:rsid w:val="6E270646"/>
    <w:rsid w:val="6E372E5F"/>
    <w:rsid w:val="6E4B5383"/>
    <w:rsid w:val="6E9B6407"/>
    <w:rsid w:val="6EA33813"/>
    <w:rsid w:val="6F92569A"/>
    <w:rsid w:val="706A23E5"/>
    <w:rsid w:val="70FE5BF1"/>
    <w:rsid w:val="722E04E1"/>
    <w:rsid w:val="72380DF1"/>
    <w:rsid w:val="727566D7"/>
    <w:rsid w:val="72A262A2"/>
    <w:rsid w:val="749850D8"/>
    <w:rsid w:val="75A67813"/>
    <w:rsid w:val="75E8027D"/>
    <w:rsid w:val="76A9613C"/>
    <w:rsid w:val="77042FD3"/>
    <w:rsid w:val="77771C8D"/>
    <w:rsid w:val="78AC208A"/>
    <w:rsid w:val="79705891"/>
    <w:rsid w:val="799F4B15"/>
    <w:rsid w:val="79EB4F94"/>
    <w:rsid w:val="7A080CC1"/>
    <w:rsid w:val="7AC13CF3"/>
    <w:rsid w:val="7AF43248"/>
    <w:rsid w:val="7B4619CE"/>
    <w:rsid w:val="7B4D0CDE"/>
    <w:rsid w:val="7B5E4E76"/>
    <w:rsid w:val="7B7B0BA3"/>
    <w:rsid w:val="7C7855C3"/>
    <w:rsid w:val="7C877DDC"/>
    <w:rsid w:val="7CA76112"/>
    <w:rsid w:val="7CFB5B9C"/>
    <w:rsid w:val="7E6B59F3"/>
    <w:rsid w:val="7EF32454"/>
    <w:rsid w:val="7F33543B"/>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3" w:firstLineChars="200"/>
      <w:jc w:val="both"/>
    </w:pPr>
    <w:rPr>
      <w:rFonts w:ascii="Times New Roman" w:hAnsi="Times New Roman" w:eastAsia="宋体" w:cs="黑体"/>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仿宋_GB2312" w:cs="Times New Roman"/>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font01"/>
    <w:basedOn w:val="7"/>
    <w:qFormat/>
    <w:uiPriority w:val="0"/>
    <w:rPr>
      <w:rFonts w:hint="eastAsia" w:ascii="宋体" w:hAnsi="宋体" w:eastAsia="宋体" w:cs="宋体"/>
      <w:color w:val="333333"/>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3DDE96-5FC1-4A22-82FB-E251FB13538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20</Pages>
  <Words>2549</Words>
  <Characters>14534</Characters>
  <Lines>121</Lines>
  <Paragraphs>34</Paragraphs>
  <TotalTime>10</TotalTime>
  <ScaleCrop>false</ScaleCrop>
  <LinksUpToDate>false</LinksUpToDate>
  <CharactersWithSpaces>17049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2023-03-16T07:12:00Z</dcterms:created>
  <dc:creator>Administrator</dc:creator>
  <cp:lastModifiedBy>龙岩市局治安支队/龙岩市公安局治安支队</cp:lastModifiedBy>
  <cp:lastPrinted>2023-07-13T07:38:00Z</cp:lastPrinted>
  <dcterms:modified xsi:type="dcterms:W3CDTF">2023-07-25T08:24:53Z</dcterms:modified>
  <dc:title>龙岩市营业性爆破作业单位安全生产标准化考评标准（讨论稿）</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C69575AB3D544FEE98DF86B68F02163C</vt:lpwstr>
  </property>
</Properties>
</file>