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813C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14:paraId="528A922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Nimbus Roman No9 L" w:hAnsi="Nimbus Roman No9 L" w:eastAsia="方正小标宋简体" w:cs="Nimbus Roman No9 L"/>
          <w:color w:val="auto"/>
          <w:sz w:val="44"/>
          <w:szCs w:val="44"/>
          <w:lang w:val="en-US" w:eastAsia="zh-CN"/>
        </w:rPr>
      </w:pPr>
      <w:r>
        <w:rPr>
          <w:rFonts w:hint="default" w:ascii="Nimbus Roman No9 L" w:hAnsi="Nimbus Roman No9 L" w:eastAsia="方正小标宋简体" w:cs="Nimbus Roman No9 L"/>
          <w:color w:val="auto"/>
          <w:sz w:val="44"/>
          <w:szCs w:val="44"/>
          <w:lang w:val="en-US" w:eastAsia="zh-CN"/>
        </w:rPr>
        <w:t>工业互联网平台评价方法</w:t>
      </w:r>
    </w:p>
    <w:p w14:paraId="194FCCA8">
      <w:pPr>
        <w:pStyle w:val="2"/>
        <w:keepNext w:val="0"/>
        <w:keepLines w:val="0"/>
        <w:pageBreakBefore w:val="0"/>
        <w:kinsoku/>
        <w:wordWrap/>
        <w:topLinePunct w:val="0"/>
        <w:bidi w:val="0"/>
        <w:snapToGrid/>
        <w:spacing w:after="0" w:line="560" w:lineRule="exact"/>
        <w:rPr>
          <w:rFonts w:hint="default" w:ascii="Nimbus Roman No9 L" w:hAnsi="Nimbus Roman No9 L" w:eastAsia="方正小标宋简体" w:cs="Nimbus Roman No9 L"/>
          <w:color w:val="auto"/>
          <w:sz w:val="32"/>
          <w:szCs w:val="32"/>
          <w:lang w:val="en-US" w:eastAsia="zh-CN"/>
        </w:rPr>
      </w:pPr>
    </w:p>
    <w:p w14:paraId="17498C5F">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为规范和促进我国工业互联网平台发展，支撑开展工业互联网平台评价与遴选，制定本方法。工业互联网平台评价重点包括平台基础共性能力要求、特定行业平台能力要求、特定领域平台能力要求、特定区域平台能力要求、跨行业跨领域平台能力要求五个部分。</w:t>
      </w:r>
    </w:p>
    <w:p w14:paraId="462BC36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0"/>
        <w:rPr>
          <w:rFonts w:hint="default" w:ascii="Nimbus Roman No9 L" w:hAnsi="Nimbus Roman No9 L" w:eastAsia="黑体" w:cs="Nimbus Roman No9 L"/>
          <w:color w:val="auto"/>
          <w:sz w:val="32"/>
          <w:szCs w:val="32"/>
          <w:lang w:val="en-US" w:eastAsia="zh-CN"/>
        </w:rPr>
      </w:pPr>
      <w:r>
        <w:rPr>
          <w:rFonts w:hint="default" w:ascii="Nimbus Roman No9 L" w:hAnsi="Nimbus Roman No9 L" w:eastAsia="黑体" w:cs="Nimbus Roman No9 L"/>
          <w:color w:val="auto"/>
          <w:sz w:val="32"/>
          <w:szCs w:val="32"/>
          <w:lang w:val="en-US" w:eastAsia="zh-CN"/>
        </w:rPr>
        <w:t>一、基础共性能力要求</w:t>
      </w:r>
    </w:p>
    <w:p w14:paraId="0DB04E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工业互联网平台基础共性能力要求包括平台资源管理、应用服务等工业操作系统能力，以及平台基础技术、投入产出效益共四个方面。</w:t>
      </w:r>
    </w:p>
    <w:p w14:paraId="24523F78">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eastAsia="楷体_GB2312" w:cs="Times New Roman"/>
          <w:b/>
          <w:sz w:val="32"/>
          <w:szCs w:val="32"/>
        </w:rPr>
      </w:pPr>
      <w:r>
        <w:rPr>
          <w:rFonts w:eastAsia="楷体_GB2312" w:cs="Times New Roman"/>
          <w:b/>
          <w:sz w:val="32"/>
          <w:szCs w:val="32"/>
        </w:rPr>
        <w:t>（一）平台资源管理能力</w:t>
      </w:r>
    </w:p>
    <w:p w14:paraId="4C9CEA1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1.工业设备管理。</w:t>
      </w:r>
      <w:r>
        <w:rPr>
          <w:rFonts w:hint="eastAsia" w:ascii="仿宋_GB2312" w:hAnsi="仿宋_GB2312" w:eastAsia="仿宋_GB2312" w:cs="仿宋_GB2312"/>
          <w:b w:val="0"/>
          <w:bCs w:val="0"/>
          <w:color w:val="auto"/>
          <w:kern w:val="2"/>
          <w:sz w:val="32"/>
          <w:szCs w:val="32"/>
          <w:highlight w:val="none"/>
          <w:lang w:val="en-US" w:eastAsia="zh-CN" w:bidi="ar-SA"/>
        </w:rPr>
        <w:t>兼容多类工业通信协议，可实现生产装备、装置和工业产品的数据采集。部署各类终端边缘计算模块，可实现工业设备数据实时处理。适配主流工业控制系统，可实现参数配置、功能设定、维护管理等设备管理操作。</w:t>
      </w:r>
    </w:p>
    <w:p w14:paraId="161B9BCC">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2.软件应用管理。</w:t>
      </w:r>
      <w:r>
        <w:rPr>
          <w:rFonts w:hint="eastAsia" w:ascii="仿宋_GB2312" w:hAnsi="仿宋_GB2312" w:eastAsia="仿宋_GB2312" w:cs="仿宋_GB2312"/>
          <w:b w:val="0"/>
          <w:bCs w:val="0"/>
          <w:color w:val="auto"/>
          <w:sz w:val="32"/>
          <w:szCs w:val="32"/>
          <w:highlight w:val="none"/>
          <w:lang w:val="en-US" w:eastAsia="zh-CN"/>
        </w:rPr>
        <w:t>可基于云计算服务架构，提供研发、采购、生产、营销、管理和服务等工业软件，提供工业软件集成适配接口。可基于平台即服务架构，提供面向各类工业场景的机理模型、微服务组件和工业APP。具备各类软件应用及工业APP的搜索、认证、交易、运行、维护等管理能力。</w:t>
      </w:r>
    </w:p>
    <w:p w14:paraId="57B8E9A4">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3.用户与开发者管理。</w:t>
      </w:r>
      <w:r>
        <w:rPr>
          <w:rFonts w:hint="eastAsia" w:ascii="仿宋_GB2312" w:hAnsi="仿宋_GB2312" w:eastAsia="仿宋_GB2312" w:cs="仿宋_GB2312"/>
          <w:b w:val="0"/>
          <w:bCs w:val="0"/>
          <w:color w:val="auto"/>
          <w:sz w:val="32"/>
          <w:szCs w:val="32"/>
          <w:highlight w:val="none"/>
          <w:lang w:val="en-US" w:eastAsia="zh-CN"/>
        </w:rPr>
        <w:t>具备多租户权限管理、用户需求响应、交易支付等多类用户管理功能。建有开发者社区，能够集聚各类开发者，并提供应用开发、测试、部署和发布的各类服务和管理功能。</w:t>
      </w:r>
    </w:p>
    <w:p w14:paraId="6E844A58">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4.数据资源管理。</w:t>
      </w:r>
      <w:r>
        <w:rPr>
          <w:rFonts w:hint="eastAsia" w:ascii="仿宋_GB2312" w:hAnsi="仿宋_GB2312" w:eastAsia="仿宋_GB2312" w:cs="仿宋_GB2312"/>
          <w:b w:val="0"/>
          <w:bCs w:val="0"/>
          <w:color w:val="auto"/>
          <w:sz w:val="32"/>
          <w:szCs w:val="32"/>
          <w:highlight w:val="none"/>
          <w:lang w:val="en-US" w:eastAsia="zh-CN"/>
        </w:rPr>
        <w:t>具备海量工业数据资源的存储与管理功能，部署多类结构化、非结构化数据管理系统，提供工业数据的存储、编目、索引、去重、合并及质量评估等管理功能。</w:t>
      </w:r>
    </w:p>
    <w:p w14:paraId="2BB6B145">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（二）平台应用服务能力</w:t>
      </w:r>
    </w:p>
    <w:p w14:paraId="06C0D22C">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1.存储计算服务。</w:t>
      </w:r>
      <w:r>
        <w:rPr>
          <w:rFonts w:hint="eastAsia" w:ascii="仿宋_GB2312" w:hAnsi="仿宋_GB2312" w:eastAsia="仿宋_GB2312" w:cs="仿宋_GB2312"/>
          <w:b w:val="0"/>
          <w:bCs w:val="0"/>
          <w:color w:val="auto"/>
          <w:sz w:val="32"/>
          <w:szCs w:val="32"/>
          <w:highlight w:val="none"/>
          <w:lang w:val="en-US" w:eastAsia="zh-CN"/>
        </w:rPr>
        <w:t>具备云计算运行环境，部署主流数据库系统，能够为用户提供可灵活调度的计算、存储和网络服务，满足海量工业数据的高并发处理需求，且积累存储一定规模的工业数据。</w:t>
      </w:r>
    </w:p>
    <w:p w14:paraId="65007AC5">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2.应用开发服务。</w:t>
      </w:r>
      <w:r>
        <w:rPr>
          <w:rFonts w:hint="eastAsia" w:ascii="仿宋_GB2312" w:hAnsi="仿宋_GB2312" w:eastAsia="仿宋_GB2312" w:cs="仿宋_GB2312"/>
          <w:b w:val="0"/>
          <w:bCs w:val="0"/>
          <w:color w:val="auto"/>
          <w:sz w:val="32"/>
          <w:szCs w:val="32"/>
          <w:highlight w:val="none"/>
          <w:lang w:val="en-US" w:eastAsia="zh-CN"/>
        </w:rPr>
        <w:t>提供多类开发语言、开发框架和开发工具，提供通用建模分析算法，能够支撑数据模型及软件应用的快速开发，满足多行业多场景开发需求。</w:t>
      </w:r>
    </w:p>
    <w:p w14:paraId="477182DB">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3.平台间调用服务。</w:t>
      </w:r>
      <w:r>
        <w:rPr>
          <w:rFonts w:hint="eastAsia" w:ascii="仿宋_GB2312" w:hAnsi="仿宋_GB2312" w:eastAsia="仿宋_GB2312" w:cs="仿宋_GB2312"/>
          <w:b w:val="0"/>
          <w:bCs w:val="0"/>
          <w:color w:val="auto"/>
          <w:sz w:val="32"/>
          <w:szCs w:val="32"/>
          <w:highlight w:val="none"/>
          <w:lang w:val="en-US" w:eastAsia="zh-CN"/>
        </w:rPr>
        <w:t>支持工业数据在不同IaaS平台间的自由迁移。支持工业软件、机理模型、微服务、工业APP在不同PaaS平台间的部署、调用和订阅。</w:t>
      </w:r>
    </w:p>
    <w:p w14:paraId="4F00D017">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4.安全防护服务。</w:t>
      </w:r>
      <w:r>
        <w:rPr>
          <w:rFonts w:hint="eastAsia" w:ascii="仿宋_GB2312" w:hAnsi="仿宋_GB2312" w:eastAsia="仿宋_GB2312" w:cs="仿宋_GB2312"/>
          <w:b w:val="0"/>
          <w:bCs w:val="0"/>
          <w:color w:val="auto"/>
          <w:sz w:val="32"/>
          <w:szCs w:val="32"/>
          <w:highlight w:val="none"/>
          <w:lang w:val="en-US" w:eastAsia="zh-CN"/>
        </w:rPr>
        <w:t>部署安全防护功能模块或组件，建立安全防护机制，确保平台数据、应用安全。</w:t>
      </w:r>
    </w:p>
    <w:p w14:paraId="540F1F82">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5.新技术应用服务。</w:t>
      </w:r>
      <w:r>
        <w:rPr>
          <w:rFonts w:hint="eastAsia" w:ascii="仿宋_GB2312" w:hAnsi="仿宋_GB2312" w:eastAsia="仿宋_GB2312" w:cs="仿宋_GB2312"/>
          <w:b w:val="0"/>
          <w:bCs w:val="0"/>
          <w:color w:val="auto"/>
          <w:sz w:val="32"/>
          <w:szCs w:val="32"/>
          <w:highlight w:val="none"/>
          <w:lang w:val="en-US" w:eastAsia="zh-CN"/>
        </w:rPr>
        <w:t>具备新技术应用探索能力，开展人工智能、区块链、VR/AR/MR等新技术应用。</w:t>
      </w:r>
    </w:p>
    <w:p w14:paraId="0FFDF57A">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（三）平台基础技术能力</w:t>
      </w:r>
    </w:p>
    <w:p w14:paraId="21FC2914">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1.平台架构设计。</w:t>
      </w:r>
      <w:r>
        <w:rPr>
          <w:rFonts w:hint="eastAsia" w:ascii="仿宋_GB2312" w:hAnsi="仿宋_GB2312" w:eastAsia="仿宋_GB2312" w:cs="仿宋_GB2312"/>
          <w:b w:val="0"/>
          <w:bCs w:val="0"/>
          <w:color w:val="auto"/>
          <w:sz w:val="32"/>
          <w:szCs w:val="32"/>
          <w:highlight w:val="none"/>
          <w:lang w:val="en-US" w:eastAsia="zh-CN"/>
        </w:rPr>
        <w:t>具有完整的云计算架构，能够基于公有云、私有云或混合云提供服务。</w:t>
      </w:r>
    </w:p>
    <w:p w14:paraId="2595D43C">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2.平台关键技术。</w:t>
      </w:r>
      <w:r>
        <w:rPr>
          <w:rFonts w:hint="eastAsia" w:ascii="仿宋_GB2312" w:hAnsi="仿宋_GB2312" w:eastAsia="仿宋_GB2312" w:cs="仿宋_GB2312"/>
          <w:b w:val="0"/>
          <w:bCs w:val="0"/>
          <w:color w:val="auto"/>
          <w:sz w:val="32"/>
          <w:szCs w:val="32"/>
          <w:highlight w:val="none"/>
          <w:lang w:val="en-US" w:eastAsia="zh-CN"/>
        </w:rPr>
        <w:t>具有设备协议兼容、边缘计算、异构数据融合、工业大数据分析、工业应用软件开发与部署等关键技术能力。</w:t>
      </w:r>
    </w:p>
    <w:p w14:paraId="0ECEC160">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（四）平台投入产出能力</w:t>
      </w:r>
    </w:p>
    <w:p w14:paraId="0A7CE16A">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1.平台研发投入。</w:t>
      </w:r>
      <w:r>
        <w:rPr>
          <w:rFonts w:hint="eastAsia" w:ascii="仿宋_GB2312" w:hAnsi="仿宋_GB2312" w:eastAsia="仿宋_GB2312" w:cs="仿宋_GB2312"/>
          <w:b w:val="0"/>
          <w:bCs w:val="0"/>
          <w:color w:val="auto"/>
          <w:sz w:val="32"/>
          <w:szCs w:val="32"/>
          <w:highlight w:val="none"/>
          <w:lang w:val="en-US" w:eastAsia="zh-CN"/>
        </w:rPr>
        <w:t>具备对平台的可持续投入能力，财务状况、研发投入合理。</w:t>
      </w:r>
    </w:p>
    <w:p w14:paraId="248B3351">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2.平台产出效益。</w:t>
      </w:r>
      <w:r>
        <w:rPr>
          <w:rFonts w:hint="eastAsia" w:ascii="仿宋_GB2312" w:hAnsi="仿宋_GB2312" w:eastAsia="仿宋_GB2312" w:cs="仿宋_GB2312"/>
          <w:b w:val="0"/>
          <w:bCs w:val="0"/>
          <w:color w:val="auto"/>
          <w:sz w:val="32"/>
          <w:szCs w:val="32"/>
          <w:highlight w:val="none"/>
          <w:lang w:val="en-US" w:eastAsia="zh-CN"/>
        </w:rPr>
        <w:t>能够依托各类服务及解决方案，为平台企业创造良好经济效益。</w:t>
      </w:r>
    </w:p>
    <w:p w14:paraId="3F2FCA5B">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3.平台应用效果。</w:t>
      </w:r>
      <w:r>
        <w:rPr>
          <w:rFonts w:hint="eastAsia" w:ascii="仿宋_GB2312" w:hAnsi="仿宋_GB2312" w:eastAsia="仿宋_GB2312" w:cs="仿宋_GB2312"/>
          <w:b w:val="0"/>
          <w:bCs w:val="0"/>
          <w:color w:val="auto"/>
          <w:sz w:val="32"/>
          <w:szCs w:val="32"/>
          <w:highlight w:val="none"/>
          <w:lang w:val="en-US" w:eastAsia="zh-CN"/>
        </w:rPr>
        <w:t>具有良好的应用效果，能够基于平台应用带动制造企业提质增效。</w:t>
      </w:r>
    </w:p>
    <w:p w14:paraId="2423C34F">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4.平台质量审计。</w:t>
      </w:r>
      <w:r>
        <w:rPr>
          <w:rFonts w:hint="eastAsia" w:ascii="仿宋_GB2312" w:hAnsi="仿宋_GB2312" w:eastAsia="仿宋_GB2312" w:cs="仿宋_GB2312"/>
          <w:b w:val="0"/>
          <w:bCs w:val="0"/>
          <w:color w:val="auto"/>
          <w:sz w:val="32"/>
          <w:szCs w:val="32"/>
          <w:highlight w:val="none"/>
          <w:lang w:val="en-US" w:eastAsia="zh-CN"/>
        </w:rPr>
        <w:t>具有明确的运行安全和质量审计机制和能力，以降低由平台运营的潜在风险引起的损失。</w:t>
      </w:r>
    </w:p>
    <w:p w14:paraId="40E639CB">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二、特定行业平台能力要求</w:t>
      </w:r>
    </w:p>
    <w:p w14:paraId="2BEF9C74">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在工业互联网平台基础共性能力基础上，特定行业平台在设备接入、软件部署和用户覆盖三个方面具有额外要求。</w:t>
      </w:r>
    </w:p>
    <w:p w14:paraId="57A1F838">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（一）行业设备接入能力</w:t>
      </w:r>
    </w:p>
    <w:p w14:paraId="4E0915F4">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平台在特定行业具有设备规模接入能力，连接不少于一定数量特定行业工业设备（离散行业）或不少于一定数量特定行业工艺流程数据采集点（流程行业）。</w:t>
      </w:r>
    </w:p>
    <w:p w14:paraId="4B158584">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（二）行业软件部署能力</w:t>
      </w:r>
    </w:p>
    <w:p w14:paraId="2E6929A0">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平台在特定行业具有工业知识经验的沉淀、转化与复用能力，提供不少于一定数量行业软件集成接口、特定行业机理模型、微服务组件，以及不少于一定数量特定行业工业APP。</w:t>
      </w:r>
    </w:p>
    <w:p w14:paraId="0CE65409">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（三）行业用户覆盖能力</w:t>
      </w:r>
    </w:p>
    <w:p w14:paraId="4DCDBF5E">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平台在特定行业具有规模化应用能力，覆盖不少于一定数量特定行业企业用户或不少于一定比例特定行业企业。</w:t>
      </w:r>
    </w:p>
    <w:p w14:paraId="2C2BA426">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三、特定领域平台能力要求</w:t>
      </w:r>
    </w:p>
    <w:p w14:paraId="4640E04B">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在工业互联网平台基础共性能力基础上，特定领域平台在关键数据打通、关键领域优化构建两个方面具有额外要求。</w:t>
      </w:r>
    </w:p>
    <w:p w14:paraId="1AFA833C">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（一）关键数据打通能力</w:t>
      </w:r>
    </w:p>
    <w:p w14:paraId="096F138C">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特定领域平台能够实现研发设计、物料采购、生产制造、运营管理、仓储物流、产品服务等产品全生命周期，供应链企业、协作企业、市场用户、外部开发者等各主体数据的打通，实现全流程的数据集成、开发、利用。</w:t>
      </w:r>
    </w:p>
    <w:p w14:paraId="1F2C9C05">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（二）关键领域优化能力</w:t>
      </w:r>
    </w:p>
    <w:p w14:paraId="29E3A021">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特定领域平台能够实现在某一关键领域的应用开发与优化服务，提升关键环节生产效率与产品质量。如协同设计、供应链管理、智能排产、设备预测性维护、产品质量智能检测、仓储与物流优化等。</w:t>
      </w:r>
    </w:p>
    <w:p w14:paraId="450CC2E8">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四、特定区域平台能力要求</w:t>
      </w:r>
    </w:p>
    <w:p w14:paraId="4693CA4D">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在工业互联网平台基础共性能力基础上，特定区域平台在地方合作、资源协同、规模推广三个方面具有额外要求。</w:t>
      </w:r>
    </w:p>
    <w:p w14:paraId="66531B5D">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（一）区域地方合作能力</w:t>
      </w:r>
    </w:p>
    <w:p w14:paraId="4567AA1C">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平台在特定区域（工业园区或产业集聚区）落地，在该地具有注册实体，与地方政府签订合作协议，具备在地方长期开发投入、运营服务能力。</w:t>
      </w:r>
    </w:p>
    <w:p w14:paraId="7335D562">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（二）区域资源协同能力</w:t>
      </w:r>
    </w:p>
    <w:p w14:paraId="08BA9546">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平台具有面向特定区域产业转型升级共性需求的服务能力，能够促进区域企业信息共享与资源集聚，带动区域企业协同发展。</w:t>
      </w:r>
    </w:p>
    <w:p w14:paraId="6E6D582E">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（三）区域规模推广能力</w:t>
      </w:r>
    </w:p>
    <w:p w14:paraId="38773F7E">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平台具有特定区域企业的规模覆盖能力，为不少于一定数量特定区域企业或不低于一定比例特定区域企业提供服务。</w:t>
      </w:r>
    </w:p>
    <w:p w14:paraId="722091CF">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五、跨行业跨领域平台能力要求</w:t>
      </w:r>
    </w:p>
    <w:p w14:paraId="745A44BB">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在工业互联网平台基础共性能力、特定行业能力、特定区域能力、特定领域能力基础上，跨行业跨领域平台要求包括如下五个方面。</w:t>
      </w:r>
    </w:p>
    <w:p w14:paraId="1167DD2A">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（一）平台跨行业能力</w:t>
      </w:r>
    </w:p>
    <w:p w14:paraId="41141126">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平台覆盖不少于一定数量特定行业：</w:t>
      </w:r>
    </w:p>
    <w:p w14:paraId="6D0D31AE">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每个行业连接不少于一定数量行业设备（离散行业）或不少于一定数量行业工艺流程数据采集点（流程行业）。</w:t>
      </w:r>
    </w:p>
    <w:p w14:paraId="04FBE660">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每个行业部署不少于一定数量行业机理模型、微服务组件，以及不少于一定数量行业工业APP。</w:t>
      </w:r>
    </w:p>
    <w:p w14:paraId="7D0444E1">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每个行业覆盖不少于一定数量企业用户或不少于一定比例行业企业。 </w:t>
      </w:r>
    </w:p>
    <w:p w14:paraId="75354BF9">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（二）平台跨领域能力</w:t>
      </w:r>
    </w:p>
    <w:p w14:paraId="0AAD09C5">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平台覆盖不少于一定数量特定领域：</w:t>
      </w:r>
    </w:p>
    <w:p w14:paraId="19AF48DC">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每个领域之间能够实现不同环节、不同主体的数据打通、集成与共享。</w:t>
      </w:r>
    </w:p>
    <w:p w14:paraId="78EA76FE">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每个领域具有不少于一定数量面向该领域（关键环节）的工业机理模型、微服务组件或工业APP。</w:t>
      </w:r>
    </w:p>
    <w:p w14:paraId="3A918671">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（三）平台跨区域能力</w:t>
      </w:r>
    </w:p>
    <w:p w14:paraId="445239C7">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平台覆盖不少于一定数量特定区域：</w:t>
      </w:r>
    </w:p>
    <w:p w14:paraId="2B880308">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平台在全国（华北、华东、华南、华中、西北、东北）主要区域注册不低于一定数量运营实体，负责平台在当地区域的运营推广。每个区域具有不少于一定数量特定区域企业用户或为不低于一定比例的特定区域企业提供服务。</w:t>
      </w:r>
    </w:p>
    <w:p w14:paraId="60FBF6CA">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（四）平台开放运营能力</w:t>
      </w:r>
    </w:p>
    <w:p w14:paraId="14E6663F">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1.平台具备独立运营能力。</w:t>
      </w:r>
      <w:r>
        <w:rPr>
          <w:rFonts w:hint="eastAsia" w:ascii="仿宋_GB2312" w:hAnsi="仿宋_GB2312" w:eastAsia="仿宋_GB2312" w:cs="仿宋_GB2312"/>
          <w:b w:val="0"/>
          <w:bCs w:val="0"/>
          <w:color w:val="auto"/>
          <w:sz w:val="32"/>
          <w:szCs w:val="32"/>
          <w:highlight w:val="none"/>
          <w:lang w:val="en-US" w:eastAsia="zh-CN"/>
        </w:rPr>
        <w:t>具有独立法人实体或完整组织架构的集团独立部门，人员规模不少于一定规模。</w:t>
      </w:r>
    </w:p>
    <w:p w14:paraId="7DBDA2FB">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2.平台具备开放运营能力。</w:t>
      </w:r>
      <w:r>
        <w:rPr>
          <w:rFonts w:hint="eastAsia" w:ascii="仿宋_GB2312" w:hAnsi="仿宋_GB2312" w:eastAsia="仿宋_GB2312" w:cs="仿宋_GB2312"/>
          <w:b w:val="0"/>
          <w:bCs w:val="0"/>
          <w:color w:val="auto"/>
          <w:sz w:val="32"/>
          <w:szCs w:val="32"/>
          <w:highlight w:val="none"/>
          <w:lang w:val="en-US" w:eastAsia="zh-CN"/>
        </w:rPr>
        <w:t>建立产学研用长期合作机制，建有开发者社区，且第三方开发者占平台开发者总数比例不低于一定比例。</w:t>
      </w:r>
    </w:p>
    <w:p w14:paraId="701FAE39">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eastAsia="楷体_GB2312" w:cs="Times New Roman"/>
          <w:b/>
          <w:sz w:val="32"/>
          <w:szCs w:val="32"/>
          <w:lang w:val="en-US" w:eastAsia="zh-CN"/>
        </w:rPr>
      </w:pPr>
      <w:r>
        <w:rPr>
          <w:rFonts w:hint="eastAsia" w:eastAsia="楷体_GB2312" w:cs="Times New Roman"/>
          <w:b/>
          <w:sz w:val="32"/>
          <w:szCs w:val="32"/>
          <w:lang w:val="en-US" w:eastAsia="zh-CN"/>
        </w:rPr>
        <w:t>（五）平台安全可靠能力</w:t>
      </w:r>
    </w:p>
    <w:p w14:paraId="272957E2">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1.工控系统安全可靠。</w:t>
      </w:r>
      <w:r>
        <w:rPr>
          <w:rFonts w:hint="eastAsia" w:ascii="仿宋_GB2312" w:hAnsi="仿宋_GB2312" w:eastAsia="仿宋_GB2312" w:cs="仿宋_GB2312"/>
          <w:b w:val="0"/>
          <w:bCs w:val="0"/>
          <w:color w:val="auto"/>
          <w:sz w:val="32"/>
          <w:szCs w:val="32"/>
          <w:highlight w:val="none"/>
          <w:lang w:val="en-US" w:eastAsia="zh-CN"/>
        </w:rPr>
        <w:t>在平台中建立工控系统安全防护机制，主动防护漏洞危害与病毒风险。</w:t>
      </w:r>
    </w:p>
    <w:p w14:paraId="78ADD1B8">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2.关键零部件安全可靠。</w:t>
      </w:r>
      <w:r>
        <w:rPr>
          <w:rFonts w:hint="eastAsia" w:ascii="仿宋_GB2312" w:hAnsi="仿宋_GB2312" w:eastAsia="仿宋_GB2312" w:cs="仿宋_GB2312"/>
          <w:b w:val="0"/>
          <w:bCs w:val="0"/>
          <w:color w:val="auto"/>
          <w:sz w:val="32"/>
          <w:szCs w:val="32"/>
          <w:highlight w:val="none"/>
          <w:lang w:val="en-US" w:eastAsia="zh-CN"/>
        </w:rPr>
        <w:t>在平台边缘计算或人工智能应用中，具备关键零部件的安全可靠能力。</w:t>
      </w:r>
    </w:p>
    <w:p w14:paraId="5FBB5693">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3.软件应用安全可靠。</w:t>
      </w:r>
      <w:r>
        <w:rPr>
          <w:rFonts w:hint="eastAsia" w:ascii="仿宋_GB2312" w:hAnsi="仿宋_GB2312" w:eastAsia="仿宋_GB2312" w:cs="仿宋_GB2312"/>
          <w:b w:val="0"/>
          <w:bCs w:val="0"/>
          <w:color w:val="auto"/>
          <w:sz w:val="32"/>
          <w:szCs w:val="32"/>
          <w:highlight w:val="none"/>
          <w:lang w:val="en-US" w:eastAsia="zh-CN"/>
        </w:rPr>
        <w:t>平台创新开发一定数量工业机理模型、微服务组件或工业APP。</w:t>
      </w:r>
    </w:p>
    <w:p w14:paraId="50D1D6F4">
      <w:pPr>
        <w:rPr>
          <w:rFonts w:hint="eastAsia"/>
        </w:rPr>
      </w:pPr>
    </w:p>
    <w:p w14:paraId="4F6CB293">
      <w:pPr>
        <w:pStyle w:val="2"/>
        <w:rPr>
          <w:rFonts w:hint="eastAsia"/>
        </w:rPr>
      </w:pPr>
    </w:p>
    <w:p w14:paraId="413B452C">
      <w:pPr>
        <w:rPr>
          <w:rFonts w:hint="eastAsia"/>
        </w:rPr>
      </w:pPr>
    </w:p>
    <w:p w14:paraId="1D75F062">
      <w:pPr>
        <w:pStyle w:val="2"/>
        <w:rPr>
          <w:rFonts w:hint="eastAsia"/>
        </w:rPr>
      </w:pPr>
    </w:p>
    <w:p w14:paraId="4C098AB2">
      <w:pPr>
        <w:rPr>
          <w:rFonts w:hint="eastAsia"/>
        </w:rPr>
      </w:pPr>
    </w:p>
    <w:p w14:paraId="3A52D463">
      <w:pPr>
        <w:pStyle w:val="2"/>
        <w:rPr>
          <w:rFonts w:hint="eastAsia"/>
        </w:rPr>
      </w:pPr>
    </w:p>
    <w:p w14:paraId="43998929">
      <w:pPr>
        <w:rPr>
          <w:rFonts w:hint="eastAsia"/>
        </w:rPr>
      </w:pPr>
    </w:p>
    <w:p w14:paraId="79A6073B">
      <w:pPr>
        <w:pStyle w:val="2"/>
        <w:rPr>
          <w:rFonts w:hint="eastAsia"/>
        </w:rPr>
      </w:pPr>
    </w:p>
    <w:p w14:paraId="092B295E">
      <w:pPr>
        <w:rPr>
          <w:rFonts w:hint="eastAsia"/>
        </w:rPr>
      </w:pPr>
    </w:p>
    <w:p w14:paraId="337063AE">
      <w:pPr>
        <w:pStyle w:val="2"/>
        <w:rPr>
          <w:rFonts w:hint="eastAsia"/>
        </w:rPr>
      </w:pPr>
    </w:p>
    <w:p w14:paraId="3E40813D">
      <w:pPr>
        <w:rPr>
          <w:rFonts w:hint="eastAsia"/>
        </w:rPr>
      </w:pPr>
    </w:p>
    <w:p w14:paraId="57D80AAF">
      <w:pPr>
        <w:pStyle w:val="2"/>
        <w:rPr>
          <w:rFonts w:hint="eastAsia"/>
        </w:rPr>
      </w:pPr>
    </w:p>
    <w:p w14:paraId="5A5C3C8D">
      <w:pPr>
        <w:rPr>
          <w:rFonts w:hint="eastAsia"/>
        </w:rPr>
      </w:pPr>
    </w:p>
    <w:p w14:paraId="6E229735">
      <w:pPr>
        <w:pStyle w:val="2"/>
        <w:rPr>
          <w:rFonts w:hint="eastAsia"/>
        </w:rPr>
      </w:pPr>
    </w:p>
    <w:p w14:paraId="227E0E91">
      <w:pPr>
        <w:rPr>
          <w:rFonts w:hint="eastAsia"/>
        </w:rPr>
      </w:pPr>
    </w:p>
    <w:p w14:paraId="699185CB">
      <w:pPr>
        <w:pStyle w:val="2"/>
        <w:rPr>
          <w:rFonts w:hint="eastAsia"/>
        </w:rPr>
      </w:pPr>
    </w:p>
    <w:p w14:paraId="41A1808D">
      <w:pPr>
        <w:rPr>
          <w:rFonts w:hint="eastAsia"/>
        </w:rPr>
      </w:pPr>
    </w:p>
    <w:p w14:paraId="19E12B2E">
      <w:pPr>
        <w:pStyle w:val="2"/>
        <w:rPr>
          <w:rFonts w:hint="eastAsia"/>
        </w:rPr>
      </w:pPr>
    </w:p>
    <w:p w14:paraId="7B132878">
      <w:pPr>
        <w:rPr>
          <w:rFonts w:hint="eastAsia"/>
        </w:rPr>
      </w:pPr>
    </w:p>
    <w:p w14:paraId="58A0777C">
      <w:pPr>
        <w:pStyle w:val="2"/>
        <w:rPr>
          <w:rFonts w:hint="eastAsia"/>
        </w:rPr>
      </w:pPr>
    </w:p>
    <w:p w14:paraId="1BD4B50A">
      <w:pPr>
        <w:rPr>
          <w:rFonts w:hint="eastAsia"/>
        </w:rPr>
      </w:pPr>
    </w:p>
    <w:p w14:paraId="70930D88">
      <w:pPr>
        <w:pStyle w:val="2"/>
        <w:rPr>
          <w:rFonts w:hint="eastAsia"/>
        </w:rPr>
      </w:pPr>
    </w:p>
    <w:p w14:paraId="619C8C1C">
      <w:pPr>
        <w:rPr>
          <w:rFonts w:hint="eastAsia"/>
        </w:rPr>
      </w:pPr>
    </w:p>
    <w:p w14:paraId="69B357A2">
      <w:pPr>
        <w:rPr>
          <w:rFonts w:hint="eastAsia"/>
        </w:rPr>
      </w:pPr>
    </w:p>
    <w:p w14:paraId="71CCEFF3">
      <w:pPr>
        <w:pStyle w:val="2"/>
        <w:rPr>
          <w:rFonts w:hint="eastAsia"/>
        </w:rPr>
      </w:pPr>
    </w:p>
    <w:p w14:paraId="0707248F">
      <w:pPr>
        <w:rPr>
          <w:rFonts w:hint="eastAsia"/>
        </w:rPr>
      </w:pPr>
    </w:p>
    <w:p w14:paraId="5B841E83">
      <w:pPr>
        <w:pStyle w:val="2"/>
        <w:rPr>
          <w:rFonts w:hint="eastAsia"/>
        </w:rPr>
      </w:pPr>
    </w:p>
    <w:p w14:paraId="2CA3C4EA">
      <w:pPr>
        <w:rPr>
          <w:rFonts w:hint="eastAsia"/>
        </w:rPr>
      </w:pPr>
    </w:p>
    <w:p w14:paraId="0EEE4FF9">
      <w:pPr>
        <w:pStyle w:val="2"/>
        <w:rPr>
          <w:rFonts w:hint="eastAsia"/>
        </w:rPr>
      </w:pPr>
    </w:p>
    <w:p w14:paraId="670355A8">
      <w:pPr>
        <w:rPr>
          <w:rFonts w:hint="eastAsia"/>
        </w:rPr>
      </w:pPr>
    </w:p>
    <w:p w14:paraId="4A06AC38">
      <w:pPr>
        <w:pStyle w:val="2"/>
        <w:rPr>
          <w:rFonts w:hint="eastAsia"/>
        </w:rPr>
      </w:pPr>
    </w:p>
    <w:p w14:paraId="2D96F3F8">
      <w:pPr>
        <w:rPr>
          <w:rFonts w:hint="eastAsia"/>
        </w:rPr>
      </w:pPr>
    </w:p>
    <w:p w14:paraId="1C3A0AB6">
      <w:pPr>
        <w:pStyle w:val="2"/>
        <w:rPr>
          <w:rFonts w:hint="eastAsia"/>
        </w:rPr>
      </w:pPr>
    </w:p>
    <w:p w14:paraId="290ADC3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14:paraId="67D35EE6">
      <w:pPr>
        <w:pStyle w:val="2"/>
        <w:rPr>
          <w:rFonts w:hint="eastAsia"/>
          <w:lang w:val="en-US" w:eastAsia="zh-CN"/>
        </w:rPr>
      </w:pPr>
    </w:p>
    <w:p w14:paraId="1D9E2635">
      <w:pPr>
        <w:pStyle w:val="4"/>
        <w:keepNext w:val="0"/>
        <w:keepLines w:val="0"/>
        <w:pageBreakBefore w:val="0"/>
        <w:widowControl/>
        <w:kinsoku/>
        <w:wordWrap/>
        <w:overflowPunct/>
        <w:topLinePunct w:val="0"/>
        <w:autoSpaceDE/>
        <w:autoSpaceDN/>
        <w:bidi w:val="0"/>
        <w:adjustRightInd/>
        <w:snapToGrid/>
        <w:spacing w:beforeAutospacing="0" w:afterAutospacing="0" w:line="700" w:lineRule="exact"/>
        <w:jc w:val="center"/>
        <w:textAlignment w:val="auto"/>
        <w:rPr>
          <w:rFonts w:ascii="方正小标宋简体" w:hAnsi="方正小标宋简体" w:eastAsia="方正小标宋简体" w:cs="方正小标宋简体"/>
          <w:sz w:val="40"/>
          <w:szCs w:val="40"/>
          <w:u w:val="none"/>
        </w:rPr>
      </w:pPr>
      <w:r>
        <w:rPr>
          <w:rFonts w:hint="eastAsia" w:ascii="方正小标宋简体" w:hAnsi="方正小标宋简体" w:eastAsia="方正小标宋简体" w:cs="方正小标宋简体"/>
          <w:sz w:val="40"/>
          <w:szCs w:val="40"/>
          <w:u w:val="none"/>
          <w:lang w:val="en-US" w:eastAsia="zh-CN"/>
        </w:rPr>
        <w:t>福建省</w:t>
      </w:r>
      <w:r>
        <w:rPr>
          <w:rFonts w:hint="eastAsia" w:ascii="方正小标宋简体" w:hAnsi="方正小标宋简体" w:eastAsia="方正小标宋简体" w:cs="方正小标宋简体"/>
          <w:sz w:val="40"/>
          <w:szCs w:val="40"/>
          <w:u w:val="none"/>
        </w:rPr>
        <w:t>工业互联网平台运营规范（试行）</w:t>
      </w:r>
    </w:p>
    <w:p w14:paraId="3A89CA62">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u w:val="none"/>
        </w:rPr>
      </w:pPr>
    </w:p>
    <w:p w14:paraId="1EF41F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为促进全省工业互联网平台规范健康发展，维护市场公平竞争秩序，制定本规范（试行）。</w:t>
      </w:r>
    </w:p>
    <w:p w14:paraId="31EDD5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u w:val="none"/>
        </w:rPr>
      </w:pPr>
      <w:r>
        <w:rPr>
          <w:rFonts w:hint="eastAsia" w:ascii="黑体" w:hAnsi="黑体" w:eastAsia="黑体" w:cs="黑体"/>
          <w:sz w:val="32"/>
          <w:szCs w:val="32"/>
          <w:u w:val="none"/>
          <w:lang w:val="en-US" w:eastAsia="zh-CN"/>
        </w:rPr>
        <w:t>一、</w:t>
      </w:r>
      <w:r>
        <w:rPr>
          <w:rFonts w:hint="eastAsia" w:ascii="黑体" w:hAnsi="黑体" w:eastAsia="黑体" w:cs="黑体"/>
          <w:sz w:val="32"/>
          <w:szCs w:val="32"/>
          <w:u w:val="none"/>
        </w:rPr>
        <w:t>购买服务规范</w:t>
      </w:r>
    </w:p>
    <w:p w14:paraId="1A0CC1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一</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建立标准化合法化的签约规范制度，设立统一规范的合同模板。</w:t>
      </w:r>
    </w:p>
    <w:p w14:paraId="2CE509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执行标准化项目管理机制，确保企业采购服务后，服务内容按要求提供。</w:t>
      </w:r>
    </w:p>
    <w:p w14:paraId="7CF6D9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三</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平台及服务商提供的服务和产品价格稳定，符合市场公平公开公正原则，保障用户企业利益。</w:t>
      </w:r>
    </w:p>
    <w:p w14:paraId="2C7FA1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四</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推行规范化服务协议，保障服务的连续性、稳定性，不得随意中断服务，损害用户使用权益。</w:t>
      </w:r>
    </w:p>
    <w:p w14:paraId="3315BD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五</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平台线上提供运营管理、协调机制、交易监管等服务，保障平台与用户</w:t>
      </w:r>
      <w:r>
        <w:rPr>
          <w:rFonts w:hint="eastAsia" w:ascii="仿宋_GB2312" w:hAnsi="仿宋_GB2312" w:eastAsia="仿宋_GB2312" w:cs="仿宋_GB2312"/>
          <w:sz w:val="32"/>
          <w:szCs w:val="32"/>
          <w:u w:val="none"/>
          <w:lang w:eastAsia="zh-CN"/>
        </w:rPr>
        <w:t>之</w:t>
      </w:r>
      <w:r>
        <w:rPr>
          <w:rFonts w:hint="eastAsia" w:ascii="仿宋_GB2312" w:hAnsi="仿宋_GB2312" w:eastAsia="仿宋_GB2312" w:cs="仿宋_GB2312"/>
          <w:sz w:val="32"/>
          <w:szCs w:val="32"/>
          <w:u w:val="none"/>
        </w:rPr>
        <w:t>间的相关权益。</w:t>
      </w:r>
    </w:p>
    <w:p w14:paraId="1164B2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u w:val="none"/>
        </w:rPr>
      </w:pPr>
      <w:r>
        <w:rPr>
          <w:rFonts w:hint="eastAsia" w:ascii="黑体" w:hAnsi="黑体" w:eastAsia="黑体" w:cs="黑体"/>
          <w:sz w:val="32"/>
          <w:szCs w:val="32"/>
          <w:u w:val="none"/>
          <w:lang w:val="en-US" w:eastAsia="zh-CN"/>
        </w:rPr>
        <w:t>二、</w:t>
      </w:r>
      <w:r>
        <w:rPr>
          <w:rFonts w:hint="eastAsia" w:ascii="黑体" w:hAnsi="黑体" w:eastAsia="黑体" w:cs="黑体"/>
          <w:sz w:val="32"/>
          <w:szCs w:val="32"/>
          <w:u w:val="none"/>
        </w:rPr>
        <w:t>市场竞争规范</w:t>
      </w:r>
    </w:p>
    <w:p w14:paraId="748D96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一</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配合监管部门规范平台运营，根据主管部门监管或考核需求，平台需及时提供真实</w:t>
      </w:r>
      <w:r>
        <w:rPr>
          <w:rFonts w:hint="eastAsia" w:ascii="仿宋_GB2312" w:hAnsi="仿宋_GB2312" w:eastAsia="仿宋_GB2312" w:cs="仿宋_GB2312"/>
          <w:sz w:val="32"/>
          <w:szCs w:val="32"/>
          <w:u w:val="none"/>
          <w:lang w:eastAsia="zh-CN"/>
        </w:rPr>
        <w:t>且</w:t>
      </w:r>
      <w:r>
        <w:rPr>
          <w:rFonts w:hint="eastAsia" w:ascii="仿宋_GB2312" w:hAnsi="仿宋_GB2312" w:eastAsia="仿宋_GB2312" w:cs="仿宋_GB2312"/>
          <w:sz w:val="32"/>
          <w:szCs w:val="32"/>
          <w:u w:val="none"/>
        </w:rPr>
        <w:t>非涉密信息</w:t>
      </w:r>
      <w:r>
        <w:rPr>
          <w:rFonts w:hint="eastAsia" w:ascii="仿宋_GB2312" w:hAnsi="仿宋_GB2312" w:eastAsia="仿宋_GB2312" w:cs="仿宋_GB2312"/>
          <w:sz w:val="32"/>
          <w:szCs w:val="32"/>
          <w:u w:val="none"/>
          <w:lang w:eastAsia="zh-CN"/>
        </w:rPr>
        <w:t>供</w:t>
      </w:r>
      <w:r>
        <w:rPr>
          <w:rFonts w:hint="eastAsia" w:ascii="仿宋_GB2312" w:hAnsi="仿宋_GB2312" w:eastAsia="仿宋_GB2312" w:cs="仿宋_GB2312"/>
          <w:sz w:val="32"/>
          <w:szCs w:val="32"/>
          <w:u w:val="none"/>
        </w:rPr>
        <w:t>监管使用。</w:t>
      </w:r>
    </w:p>
    <w:p w14:paraId="5CEDFF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平台与服务商合作协议</w:t>
      </w:r>
      <w:r>
        <w:rPr>
          <w:rFonts w:hint="eastAsia" w:ascii="仿宋_GB2312" w:hAnsi="仿宋_GB2312" w:eastAsia="仿宋_GB2312" w:cs="仿宋_GB2312"/>
          <w:sz w:val="32"/>
          <w:szCs w:val="32"/>
          <w:u w:val="none"/>
          <w:lang w:eastAsia="zh-CN"/>
        </w:rPr>
        <w:t>应做到</w:t>
      </w:r>
      <w:r>
        <w:rPr>
          <w:rFonts w:hint="eastAsia" w:ascii="仿宋_GB2312" w:hAnsi="仿宋_GB2312" w:eastAsia="仿宋_GB2312" w:cs="仿宋_GB2312"/>
          <w:sz w:val="32"/>
          <w:szCs w:val="32"/>
          <w:u w:val="none"/>
        </w:rPr>
        <w:t>公平公正，不得搞市场垄断，</w:t>
      </w:r>
      <w:r>
        <w:rPr>
          <w:rFonts w:hint="eastAsia" w:ascii="仿宋_GB2312" w:hAnsi="仿宋_GB2312" w:eastAsia="仿宋_GB2312" w:cs="仿宋_GB2312"/>
          <w:sz w:val="32"/>
          <w:szCs w:val="32"/>
          <w:u w:val="none"/>
          <w:lang w:eastAsia="zh-CN"/>
        </w:rPr>
        <w:t>不得对</w:t>
      </w:r>
      <w:r>
        <w:rPr>
          <w:rFonts w:hint="eastAsia" w:ascii="仿宋_GB2312" w:hAnsi="仿宋_GB2312" w:eastAsia="仿宋_GB2312" w:cs="仿宋_GB2312"/>
          <w:sz w:val="32"/>
          <w:szCs w:val="32"/>
          <w:u w:val="none"/>
        </w:rPr>
        <w:t>服务商确定合作对象</w:t>
      </w:r>
      <w:r>
        <w:rPr>
          <w:rFonts w:hint="eastAsia" w:ascii="仿宋_GB2312" w:hAnsi="仿宋_GB2312" w:eastAsia="仿宋_GB2312" w:cs="仿宋_GB2312"/>
          <w:sz w:val="32"/>
          <w:szCs w:val="32"/>
          <w:u w:val="none"/>
          <w:lang w:eastAsia="zh-CN"/>
        </w:rPr>
        <w:t>有排他性要求</w:t>
      </w:r>
      <w:r>
        <w:rPr>
          <w:rFonts w:hint="eastAsia" w:ascii="仿宋_GB2312" w:hAnsi="仿宋_GB2312" w:eastAsia="仿宋_GB2312" w:cs="仿宋_GB2312"/>
          <w:sz w:val="32"/>
          <w:szCs w:val="32"/>
          <w:u w:val="none"/>
        </w:rPr>
        <w:t>。</w:t>
      </w:r>
    </w:p>
    <w:p w14:paraId="3294B1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三</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平台</w:t>
      </w:r>
      <w:r>
        <w:rPr>
          <w:rFonts w:hint="eastAsia" w:ascii="仿宋_GB2312" w:hAnsi="仿宋_GB2312" w:eastAsia="仿宋_GB2312" w:cs="仿宋_GB2312"/>
          <w:sz w:val="32"/>
          <w:szCs w:val="32"/>
          <w:u w:val="none"/>
          <w:lang w:eastAsia="zh-CN"/>
        </w:rPr>
        <w:t>在</w:t>
      </w:r>
      <w:r>
        <w:rPr>
          <w:rFonts w:hint="eastAsia" w:ascii="仿宋_GB2312" w:hAnsi="仿宋_GB2312" w:eastAsia="仿宋_GB2312" w:cs="仿宋_GB2312"/>
          <w:sz w:val="32"/>
          <w:szCs w:val="32"/>
          <w:u w:val="none"/>
        </w:rPr>
        <w:t>共享设计产品并组织用户使用</w:t>
      </w:r>
      <w:r>
        <w:rPr>
          <w:rFonts w:hint="eastAsia" w:ascii="仿宋_GB2312" w:hAnsi="仿宋_GB2312" w:eastAsia="仿宋_GB2312" w:cs="仿宋_GB2312"/>
          <w:sz w:val="32"/>
          <w:szCs w:val="32"/>
          <w:u w:val="none"/>
          <w:lang w:eastAsia="zh-CN"/>
        </w:rPr>
        <w:t>时</w:t>
      </w:r>
      <w:r>
        <w:rPr>
          <w:rFonts w:hint="eastAsia" w:ascii="仿宋_GB2312" w:hAnsi="仿宋_GB2312" w:eastAsia="仿宋_GB2312" w:cs="仿宋_GB2312"/>
          <w:sz w:val="32"/>
          <w:szCs w:val="32"/>
          <w:u w:val="none"/>
        </w:rPr>
        <w:t>，对用户设计的产品不得侵犯使用权，保障用户知识产权利益。</w:t>
      </w:r>
    </w:p>
    <w:p w14:paraId="392BB5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u w:val="none"/>
        </w:rPr>
      </w:pPr>
      <w:r>
        <w:rPr>
          <w:rFonts w:hint="eastAsia" w:ascii="黑体" w:hAnsi="黑体" w:eastAsia="黑体" w:cs="黑体"/>
          <w:sz w:val="32"/>
          <w:szCs w:val="32"/>
          <w:u w:val="none"/>
          <w:lang w:val="en-US" w:eastAsia="zh-CN"/>
        </w:rPr>
        <w:t>三、</w:t>
      </w:r>
      <w:r>
        <w:rPr>
          <w:rFonts w:hint="eastAsia" w:ascii="黑体" w:hAnsi="黑体" w:eastAsia="黑体" w:cs="黑体"/>
          <w:sz w:val="32"/>
          <w:szCs w:val="32"/>
          <w:u w:val="none"/>
        </w:rPr>
        <w:t>数据安全规范</w:t>
      </w:r>
    </w:p>
    <w:p w14:paraId="0288BF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一</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工业互联网平台相关服务组织和企业要严格按照《数据安全法》《工业和信息化领域数据安全管理办法（试行）》《工业互联网数据安全保护要求》，开展数据安全工作。提供数据保密协议，约定平台与企业产生的数据使用规范。</w:t>
      </w:r>
    </w:p>
    <w:p w14:paraId="5029E6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6"/>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健全平台数据管理机制，</w:t>
      </w:r>
      <w:r>
        <w:rPr>
          <w:rFonts w:hint="eastAsia" w:ascii="仿宋_GB2312" w:hAnsi="仿宋_GB2312" w:eastAsia="仿宋_GB2312" w:cs="仿宋_GB2312"/>
          <w:spacing w:val="-6"/>
          <w:sz w:val="32"/>
          <w:szCs w:val="32"/>
          <w:u w:val="none"/>
        </w:rPr>
        <w:t>按照先分类后分级的原则，定期梳理，根据行业要求、业务需求、数据来源和用途等因素对工业互联网平台数据进行分类和标识，形成数据分类清单。对重要数据和核心数据目录实施动态管理，并向地方工信主管部门报送备案，采取相应措施开展数据安全防护，定期进行数据安全评估。</w:t>
      </w:r>
    </w:p>
    <w:p w14:paraId="033389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三</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禁止未经授权数据共享，不得将收集的信息用于服务之外，依法依规开展数据交易，不得违规将信息出售、转让或向任何第三方披露，不超范围收集信息。</w:t>
      </w:r>
    </w:p>
    <w:p w14:paraId="7AAAF8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四</w:t>
      </w:r>
      <w:r>
        <w:rPr>
          <w:rFonts w:hint="eastAsia" w:ascii="仿宋_GB2312" w:hAnsi="仿宋_GB2312" w:eastAsia="仿宋_GB2312" w:cs="仿宋_GB2312"/>
          <w:sz w:val="32"/>
          <w:szCs w:val="32"/>
          <w:u w:val="none"/>
          <w:lang w:eastAsia="zh-CN"/>
        </w:rPr>
        <w:t>）制定</w:t>
      </w:r>
      <w:r>
        <w:rPr>
          <w:rFonts w:hint="eastAsia" w:ascii="仿宋_GB2312" w:hAnsi="仿宋_GB2312" w:eastAsia="仿宋_GB2312" w:cs="仿宋_GB2312"/>
          <w:sz w:val="32"/>
          <w:szCs w:val="32"/>
          <w:u w:val="none"/>
        </w:rPr>
        <w:t>平台数据权限规范，数据权限的获取与使用，需经数据提供方授权许可。</w:t>
      </w:r>
    </w:p>
    <w:p w14:paraId="0A0051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五</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加强各工业互联网平台互联互通，推进平台间数据安全流动、可信交易、汇聚共享和服务增值。</w:t>
      </w:r>
    </w:p>
    <w:p w14:paraId="6A87D0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u w:val="none"/>
        </w:rPr>
      </w:pPr>
      <w:r>
        <w:rPr>
          <w:rFonts w:hint="eastAsia" w:ascii="黑体" w:hAnsi="黑体" w:eastAsia="黑体" w:cs="黑体"/>
          <w:sz w:val="32"/>
          <w:szCs w:val="32"/>
          <w:u w:val="none"/>
          <w:lang w:val="en-US" w:eastAsia="zh-CN"/>
        </w:rPr>
        <w:t>四、</w:t>
      </w:r>
      <w:r>
        <w:rPr>
          <w:rFonts w:hint="eastAsia" w:ascii="黑体" w:hAnsi="黑体" w:eastAsia="黑体" w:cs="黑体"/>
          <w:sz w:val="32"/>
          <w:szCs w:val="32"/>
          <w:u w:val="none"/>
        </w:rPr>
        <w:t>客户保障规范</w:t>
      </w:r>
    </w:p>
    <w:p w14:paraId="097853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一</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建立长效运营服务机制，保障用户对平台</w:t>
      </w:r>
      <w:r>
        <w:rPr>
          <w:rFonts w:hint="eastAsia" w:ascii="仿宋_GB2312" w:hAnsi="仿宋_GB2312" w:eastAsia="仿宋_GB2312" w:cs="仿宋_GB2312"/>
          <w:sz w:val="32"/>
          <w:szCs w:val="32"/>
          <w:u w:val="none"/>
          <w:lang w:eastAsia="zh-CN"/>
        </w:rPr>
        <w:t>的</w:t>
      </w:r>
      <w:r>
        <w:rPr>
          <w:rFonts w:hint="eastAsia" w:ascii="仿宋_GB2312" w:hAnsi="仿宋_GB2312" w:eastAsia="仿宋_GB2312" w:cs="仿宋_GB2312"/>
          <w:sz w:val="32"/>
          <w:szCs w:val="32"/>
          <w:u w:val="none"/>
        </w:rPr>
        <w:t>意见</w:t>
      </w:r>
      <w:r>
        <w:rPr>
          <w:rFonts w:hint="eastAsia" w:ascii="仿宋_GB2312" w:hAnsi="仿宋_GB2312" w:eastAsia="仿宋_GB2312" w:cs="仿宋_GB2312"/>
          <w:sz w:val="32"/>
          <w:szCs w:val="32"/>
          <w:u w:val="none"/>
          <w:lang w:eastAsia="zh-CN"/>
        </w:rPr>
        <w:t>有</w:t>
      </w:r>
      <w:r>
        <w:rPr>
          <w:rFonts w:hint="eastAsia" w:ascii="仿宋_GB2312" w:hAnsi="仿宋_GB2312" w:eastAsia="仿宋_GB2312" w:cs="仿宋_GB2312"/>
          <w:sz w:val="32"/>
          <w:szCs w:val="32"/>
          <w:u w:val="none"/>
        </w:rPr>
        <w:t>反馈渠道，不得利用市场地位侵犯用户权益。</w:t>
      </w:r>
    </w:p>
    <w:p w14:paraId="6F8BA3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建立售后运维管理制度，定期回访企业使用情况，确保服务使用价值。</w:t>
      </w:r>
    </w:p>
    <w:p w14:paraId="740655D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附件3</w:t>
      </w:r>
    </w:p>
    <w:p w14:paraId="454B3C83">
      <w:pPr>
        <w:pStyle w:val="2"/>
        <w:rPr>
          <w:rFonts w:hint="eastAsia"/>
          <w:lang w:val="en-US" w:eastAsia="zh-CN"/>
        </w:rPr>
      </w:pPr>
    </w:p>
    <w:p w14:paraId="7529FA9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龙岩市行业（区域）工业互联网平台</w:t>
      </w:r>
    </w:p>
    <w:p w14:paraId="63390072">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成效评估提纲</w:t>
      </w:r>
    </w:p>
    <w:p w14:paraId="206D70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p>
    <w:p w14:paraId="4DA9C0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发展历程</w:t>
      </w:r>
    </w:p>
    <w:p w14:paraId="08EDF1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1.平台成立时间，资本组成结构，当前运营主体；</w:t>
      </w:r>
      <w:r>
        <w:rPr>
          <w:rFonts w:hint="eastAsia" w:ascii="仿宋_GB2312" w:hAnsi="仿宋_GB2312" w:eastAsia="仿宋_GB2312" w:cs="仿宋_GB2312"/>
          <w:color w:val="auto"/>
          <w:sz w:val="32"/>
          <w:szCs w:val="32"/>
          <w:highlight w:val="none"/>
          <w:lang w:val="zh-CN" w:eastAsia="zh-CN"/>
        </w:rPr>
        <w:t>平台</w:t>
      </w:r>
      <w:r>
        <w:rPr>
          <w:rFonts w:hint="eastAsia" w:ascii="仿宋_GB2312" w:hAnsi="仿宋_GB2312" w:eastAsia="仿宋_GB2312" w:cs="仿宋_GB2312"/>
          <w:color w:val="auto"/>
          <w:sz w:val="32"/>
          <w:szCs w:val="32"/>
          <w:highlight w:val="none"/>
          <w:lang w:val="en-US" w:eastAsia="zh-CN"/>
        </w:rPr>
        <w:t>发展经历的阶段，逐个发展阶段如何突破瓶颈；在市场开拓、产品研发等方面发展壮大的实施路径。</w:t>
      </w:r>
    </w:p>
    <w:p w14:paraId="0DEDC9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bidi="ar-SA"/>
        </w:rPr>
        <w:t>研发创新能力如何，研发投入情况，核心技术优势，国家、省级科技进步奖情况，数字化领域发明专利数量，参与国家、行业、团体标准制定情况等。</w:t>
      </w:r>
    </w:p>
    <w:p w14:paraId="5D39AC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二、运营模式及服务内容</w:t>
      </w:r>
    </w:p>
    <w:p w14:paraId="55773A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3.平台重点推出的服务模式和产品，提供生产管理、质量管控、能源管控、远程服务、供应链管理、产融合作等方面哪些软硬件服务和解决方案，有哪些优势，解决企业哪些问题，如何保证用户使用粘性。</w:t>
      </w:r>
    </w:p>
    <w:p w14:paraId="57E64E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4.平台数据采集、存储、管理、安全防护是如何处理的，公有云、私有云或混合云服务能力；平台的资源开发能力如何，生态圈组建的情况，工业软件、机理模型、微服务等开发部署能力如何。</w:t>
      </w:r>
    </w:p>
    <w:p w14:paraId="58141A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三、经营情况及主要成效</w:t>
      </w:r>
    </w:p>
    <w:p w14:paraId="712ED2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5.平台上一年度营业收入，利润。平台接入企业数、设备数，其中，规上企业多少家；接入企业涉及哪些行业，在几个行业内市场占有率是多少。</w:t>
      </w:r>
    </w:p>
    <w:p w14:paraId="6AFDE0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6.平台发展快（或慢）的原因是什么。</w:t>
      </w:r>
    </w:p>
    <w:p w14:paraId="4E6395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在各个行业的具体服务案例，对大企业服务，针对解决哪些问题，提供哪些产品，取得哪些成效，要列具体例子说明；对中小微企业服务，针对解决哪些问题，提供哪些产品，取得哪些成效，要列具体例子说明。</w:t>
      </w:r>
    </w:p>
    <w:p w14:paraId="6335FA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四、投入产出比及推广优势</w:t>
      </w:r>
    </w:p>
    <w:p w14:paraId="387BE1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8.平台的商业模式是怎样的，平台如何与企业合作。</w:t>
      </w:r>
    </w:p>
    <w:p w14:paraId="104EAF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9.平台的推广优势有哪些，从工业企业角度来看，数字化转型的投入产出比，如何让利给工业企业等。</w:t>
      </w:r>
    </w:p>
    <w:p w14:paraId="522F97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color w:val="auto"/>
          <w:kern w:val="2"/>
          <w:sz w:val="32"/>
          <w:szCs w:val="32"/>
          <w:highlight w:val="none"/>
          <w:lang w:val="en-US" w:eastAsia="zh-CN" w:bidi="ar-SA"/>
        </w:rPr>
      </w:pPr>
      <w:r>
        <w:rPr>
          <w:rFonts w:hint="eastAsia" w:ascii="黑体" w:hAnsi="黑体" w:eastAsia="黑体" w:cs="黑体"/>
          <w:b w:val="0"/>
          <w:bCs w:val="0"/>
          <w:sz w:val="32"/>
          <w:szCs w:val="32"/>
          <w:lang w:val="en-US" w:eastAsia="zh-CN"/>
        </w:rPr>
        <w:t>五、几点经验</w:t>
      </w:r>
      <w:r>
        <w:rPr>
          <w:rFonts w:hint="eastAsia" w:ascii="楷体" w:hAnsi="楷体" w:eastAsia="楷体" w:cs="楷体"/>
          <w:b/>
          <w:bCs/>
          <w:color w:val="auto"/>
          <w:kern w:val="2"/>
          <w:sz w:val="32"/>
          <w:szCs w:val="32"/>
          <w:highlight w:val="none"/>
          <w:lang w:val="en-US" w:eastAsia="zh-CN" w:bidi="ar-SA"/>
        </w:rPr>
        <w:tab/>
      </w:r>
    </w:p>
    <w:p w14:paraId="453745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kern w:val="2"/>
          <w:sz w:val="32"/>
          <w:szCs w:val="32"/>
          <w:highlight w:val="none"/>
          <w:lang w:val="en-US" w:eastAsia="zh-CN" w:bidi="ar-SA"/>
        </w:rPr>
        <w:t>10.平台之所以能够迅速发展，有哪些值得总结的经验，包括市场推广、产品创新、服务模式等方面</w:t>
      </w:r>
      <w:r>
        <w:rPr>
          <w:rFonts w:hint="eastAsia" w:ascii="仿宋_GB2312" w:hAnsi="仿宋_GB2312" w:eastAsia="仿宋_GB2312" w:cs="仿宋_GB2312"/>
          <w:color w:val="auto"/>
          <w:kern w:val="2"/>
          <w:sz w:val="32"/>
          <w:szCs w:val="32"/>
          <w:highlight w:val="none"/>
          <w:lang w:val="en-US" w:eastAsia="zh-CN" w:bidi="ar-SA"/>
        </w:rPr>
        <w:t>。</w:t>
      </w:r>
    </w:p>
    <w:p w14:paraId="750A1A84">
      <w:pPr>
        <w:snapToGrid w:val="0"/>
        <w:spacing w:line="600" w:lineRule="exact"/>
        <w:ind w:firstLine="0" w:firstLineChars="0"/>
        <w:rPr>
          <w:rFonts w:hint="eastAsia" w:ascii="仿宋_GB2312" w:hAnsi="仿宋_GB2312" w:eastAsia="仿宋_GB2312" w:cs="仿宋_GB2312"/>
          <w:sz w:val="32"/>
          <w:szCs w:val="32"/>
        </w:rPr>
      </w:pPr>
    </w:p>
    <w:p w14:paraId="3CBF2ADE">
      <w:pPr>
        <w:snapToGrid w:val="0"/>
        <w:spacing w:line="600" w:lineRule="exact"/>
        <w:ind w:firstLine="0" w:firstLineChars="0"/>
        <w:rPr>
          <w:rFonts w:hint="eastAsia" w:ascii="黑体" w:hAnsi="黑体" w:eastAsia="黑体" w:cs="黑体"/>
          <w:sz w:val="32"/>
          <w:szCs w:val="32"/>
        </w:rPr>
      </w:pPr>
    </w:p>
    <w:p w14:paraId="22FB4965">
      <w:pPr>
        <w:pStyle w:val="6"/>
        <w:rPr>
          <w:rFonts w:hint="eastAsia" w:ascii="黑体" w:hAnsi="黑体" w:eastAsia="黑体" w:cs="黑体"/>
          <w:sz w:val="32"/>
          <w:szCs w:val="32"/>
        </w:rPr>
      </w:pPr>
    </w:p>
    <w:p w14:paraId="5455E7BD">
      <w:pPr>
        <w:rPr>
          <w:rFonts w:hint="eastAsia" w:ascii="黑体" w:hAnsi="黑体" w:eastAsia="黑体" w:cs="黑体"/>
          <w:sz w:val="32"/>
          <w:szCs w:val="32"/>
        </w:rPr>
      </w:pPr>
    </w:p>
    <w:p w14:paraId="4CBAADA0">
      <w:pPr>
        <w:pStyle w:val="6"/>
        <w:rPr>
          <w:rFonts w:hint="eastAsia" w:ascii="黑体" w:hAnsi="黑体" w:eastAsia="黑体" w:cs="黑体"/>
          <w:sz w:val="32"/>
          <w:szCs w:val="32"/>
        </w:rPr>
      </w:pPr>
    </w:p>
    <w:p w14:paraId="64358030">
      <w:pPr>
        <w:rPr>
          <w:rFonts w:hint="eastAsia" w:ascii="黑体" w:hAnsi="黑体" w:eastAsia="黑体" w:cs="黑体"/>
          <w:sz w:val="32"/>
          <w:szCs w:val="32"/>
        </w:rPr>
      </w:pPr>
    </w:p>
    <w:p w14:paraId="2B64DF26">
      <w:pPr>
        <w:pStyle w:val="2"/>
        <w:rPr>
          <w:rFonts w:hint="eastAsia" w:ascii="黑体" w:hAnsi="黑体" w:eastAsia="黑体" w:cs="黑体"/>
          <w:sz w:val="32"/>
          <w:szCs w:val="32"/>
        </w:rPr>
      </w:pPr>
    </w:p>
    <w:p w14:paraId="75AFD870">
      <w:pPr>
        <w:rPr>
          <w:rFonts w:hint="eastAsia" w:ascii="黑体" w:hAnsi="黑体" w:eastAsia="黑体" w:cs="黑体"/>
          <w:sz w:val="32"/>
          <w:szCs w:val="32"/>
        </w:rPr>
      </w:pPr>
    </w:p>
    <w:p w14:paraId="5F3BCF1F">
      <w:pPr>
        <w:pStyle w:val="2"/>
        <w:rPr>
          <w:rFonts w:hint="eastAsia" w:ascii="黑体" w:hAnsi="黑体" w:eastAsia="黑体" w:cs="黑体"/>
          <w:sz w:val="32"/>
          <w:szCs w:val="32"/>
        </w:rPr>
      </w:pPr>
    </w:p>
    <w:p w14:paraId="21EA9AF7">
      <w:pPr>
        <w:rPr>
          <w:rFonts w:hint="eastAsia"/>
        </w:rPr>
      </w:pPr>
      <w:bookmarkStart w:id="0" w:name="_GoBack"/>
      <w:bookmarkEnd w:id="0"/>
    </w:p>
    <w:p w14:paraId="6FD7408A">
      <w:pPr>
        <w:pStyle w:val="6"/>
        <w:rPr>
          <w:rFonts w:hint="eastAsia" w:ascii="黑体" w:hAnsi="黑体" w:eastAsia="黑体" w:cs="黑体"/>
          <w:sz w:val="32"/>
          <w:szCs w:val="32"/>
        </w:rPr>
      </w:pPr>
    </w:p>
    <w:p w14:paraId="28C6B995">
      <w:pPr>
        <w:rPr>
          <w:rFonts w:hint="eastAsia" w:ascii="黑体" w:hAnsi="黑体" w:eastAsia="黑体" w:cs="黑体"/>
          <w:sz w:val="32"/>
          <w:szCs w:val="32"/>
        </w:rPr>
      </w:pPr>
    </w:p>
    <w:p w14:paraId="679E4670">
      <w:pPr>
        <w:pStyle w:val="6"/>
        <w:rPr>
          <w:rFonts w:hint="eastAsia"/>
        </w:rPr>
      </w:pPr>
    </w:p>
    <w:p w14:paraId="0CD20144">
      <w:pPr>
        <w:snapToGrid w:val="0"/>
        <w:spacing w:line="600" w:lineRule="exact"/>
        <w:ind w:firstLine="0" w:firstLineChars="0"/>
        <w:rPr>
          <w:rFonts w:hint="eastAsia" w:ascii="黑体" w:hAnsi="黑体" w:eastAsia="黑体" w:cs="黑体"/>
          <w:color w:val="000000"/>
          <w:sz w:val="32"/>
          <w:szCs w:val="32"/>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4</w:t>
      </w:r>
    </w:p>
    <w:p w14:paraId="04BAEC5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lang w:val="en-US" w:eastAsia="zh-CN"/>
        </w:rPr>
        <w:t>龙岩市</w:t>
      </w:r>
      <w:r>
        <w:rPr>
          <w:rFonts w:hint="eastAsia" w:ascii="方正小标宋简体" w:hAnsi="方正小标宋简体" w:eastAsia="方正小标宋简体" w:cs="方正小标宋简体"/>
          <w:color w:val="000000"/>
          <w:sz w:val="44"/>
          <w:szCs w:val="44"/>
          <w:lang w:eastAsia="zh-CN"/>
        </w:rPr>
        <w:t>行业（区域）特色型</w:t>
      </w:r>
    </w:p>
    <w:p w14:paraId="14447FE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lang w:eastAsia="zh-CN"/>
        </w:rPr>
        <w:t>工业互联网平台申报表</w:t>
      </w:r>
    </w:p>
    <w:tbl>
      <w:tblPr>
        <w:tblStyle w:val="7"/>
        <w:tblpPr w:leftFromText="180" w:rightFromText="180" w:vertAnchor="text" w:horzAnchor="page" w:tblpX="1653" w:tblpY="3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819"/>
        <w:gridCol w:w="11"/>
        <w:gridCol w:w="1061"/>
        <w:gridCol w:w="1352"/>
        <w:gridCol w:w="5"/>
        <w:gridCol w:w="1362"/>
        <w:gridCol w:w="1057"/>
        <w:gridCol w:w="278"/>
        <w:gridCol w:w="2148"/>
      </w:tblGrid>
      <w:tr w14:paraId="1819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954" w:type="dxa"/>
            <w:gridSpan w:val="10"/>
            <w:noWrap w:val="0"/>
            <w:vAlign w:val="center"/>
          </w:tcPr>
          <w:p w14:paraId="569B59FF">
            <w:pPr>
              <w:snapToGrid w:val="0"/>
              <w:spacing w:before="48" w:beforeLines="20" w:line="340" w:lineRule="exact"/>
              <w:rPr>
                <w:rFonts w:ascii="Times New Roman" w:hAnsi="Times New Roman"/>
                <w:color w:val="000000"/>
                <w:sz w:val="24"/>
              </w:rPr>
            </w:pPr>
            <w:r>
              <w:rPr>
                <w:rFonts w:ascii="Times New Roman" w:hAnsi="Times New Roman"/>
                <w:b/>
                <w:bCs/>
                <w:color w:val="000000"/>
                <w:sz w:val="24"/>
              </w:rPr>
              <w:t>（一）企业基本信息</w:t>
            </w:r>
          </w:p>
        </w:tc>
      </w:tr>
      <w:tr w14:paraId="324B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63014351">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企业名称</w:t>
            </w:r>
          </w:p>
        </w:tc>
        <w:tc>
          <w:tcPr>
            <w:tcW w:w="7263" w:type="dxa"/>
            <w:gridSpan w:val="7"/>
            <w:noWrap w:val="0"/>
            <w:vAlign w:val="center"/>
          </w:tcPr>
          <w:p w14:paraId="3E914C6A">
            <w:pPr>
              <w:snapToGrid w:val="0"/>
              <w:spacing w:before="48" w:beforeLines="20" w:line="340" w:lineRule="exact"/>
              <w:jc w:val="center"/>
              <w:rPr>
                <w:rFonts w:hint="eastAsia" w:ascii="仿宋_GB2312" w:hAnsi="仿宋_GB2312" w:eastAsia="仿宋_GB2312" w:cs="仿宋_GB2312"/>
                <w:color w:val="000000"/>
                <w:sz w:val="24"/>
              </w:rPr>
            </w:pPr>
          </w:p>
        </w:tc>
      </w:tr>
      <w:tr w14:paraId="11F2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02D95794">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注册地址</w:t>
            </w:r>
          </w:p>
        </w:tc>
        <w:tc>
          <w:tcPr>
            <w:tcW w:w="7263" w:type="dxa"/>
            <w:gridSpan w:val="7"/>
            <w:noWrap w:val="0"/>
            <w:vAlign w:val="center"/>
          </w:tcPr>
          <w:p w14:paraId="313B1B76">
            <w:pPr>
              <w:snapToGrid w:val="0"/>
              <w:spacing w:before="48" w:beforeLines="20" w:line="340" w:lineRule="exact"/>
              <w:jc w:val="center"/>
              <w:rPr>
                <w:rFonts w:hint="eastAsia" w:ascii="仿宋_GB2312" w:hAnsi="仿宋_GB2312" w:eastAsia="仿宋_GB2312" w:cs="仿宋_GB2312"/>
                <w:color w:val="000000"/>
                <w:sz w:val="24"/>
              </w:rPr>
            </w:pPr>
          </w:p>
        </w:tc>
      </w:tr>
      <w:tr w14:paraId="3076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1ACEB96D">
            <w:pPr>
              <w:snapToGrid w:val="0"/>
              <w:spacing w:before="48" w:beforeLines="20" w:line="340" w:lineRule="exact"/>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统一社会信用代码</w:t>
            </w:r>
          </w:p>
        </w:tc>
        <w:tc>
          <w:tcPr>
            <w:tcW w:w="7263" w:type="dxa"/>
            <w:gridSpan w:val="7"/>
            <w:noWrap w:val="0"/>
            <w:vAlign w:val="center"/>
          </w:tcPr>
          <w:p w14:paraId="143C46AE">
            <w:pPr>
              <w:snapToGrid w:val="0"/>
              <w:spacing w:before="48" w:beforeLines="20" w:line="340" w:lineRule="exact"/>
              <w:jc w:val="center"/>
              <w:rPr>
                <w:rFonts w:hint="eastAsia" w:ascii="仿宋_GB2312" w:hAnsi="仿宋_GB2312" w:eastAsia="仿宋_GB2312" w:cs="仿宋_GB2312"/>
                <w:color w:val="000000"/>
                <w:sz w:val="24"/>
              </w:rPr>
            </w:pPr>
          </w:p>
        </w:tc>
      </w:tr>
      <w:tr w14:paraId="1438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61141667">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法人代表</w:t>
            </w:r>
          </w:p>
        </w:tc>
        <w:tc>
          <w:tcPr>
            <w:tcW w:w="2418" w:type="dxa"/>
            <w:gridSpan w:val="3"/>
            <w:noWrap w:val="0"/>
            <w:vAlign w:val="center"/>
          </w:tcPr>
          <w:p w14:paraId="6984668D">
            <w:pPr>
              <w:snapToGrid w:val="0"/>
              <w:spacing w:before="48" w:beforeLines="20" w:line="340" w:lineRule="exact"/>
              <w:jc w:val="center"/>
              <w:rPr>
                <w:rFonts w:hint="eastAsia" w:ascii="仿宋_GB2312" w:hAnsi="仿宋_GB2312" w:eastAsia="仿宋_GB2312" w:cs="仿宋_GB2312"/>
                <w:color w:val="000000"/>
                <w:sz w:val="24"/>
              </w:rPr>
            </w:pPr>
          </w:p>
        </w:tc>
        <w:tc>
          <w:tcPr>
            <w:tcW w:w="1362" w:type="dxa"/>
            <w:noWrap w:val="0"/>
            <w:vAlign w:val="center"/>
          </w:tcPr>
          <w:p w14:paraId="72BF88DA">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联系电话</w:t>
            </w:r>
          </w:p>
        </w:tc>
        <w:tc>
          <w:tcPr>
            <w:tcW w:w="3483" w:type="dxa"/>
            <w:gridSpan w:val="3"/>
            <w:noWrap w:val="0"/>
            <w:vAlign w:val="center"/>
          </w:tcPr>
          <w:p w14:paraId="311E4727">
            <w:pPr>
              <w:snapToGrid w:val="0"/>
              <w:spacing w:before="48" w:beforeLines="20" w:line="340" w:lineRule="exact"/>
              <w:jc w:val="center"/>
              <w:rPr>
                <w:rFonts w:hint="eastAsia" w:ascii="仿宋_GB2312" w:hAnsi="仿宋_GB2312" w:eastAsia="仿宋_GB2312" w:cs="仿宋_GB2312"/>
                <w:color w:val="000000"/>
                <w:sz w:val="24"/>
              </w:rPr>
            </w:pPr>
          </w:p>
        </w:tc>
      </w:tr>
      <w:tr w14:paraId="011A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745D9E49">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2418" w:type="dxa"/>
            <w:gridSpan w:val="3"/>
            <w:noWrap w:val="0"/>
            <w:vAlign w:val="center"/>
          </w:tcPr>
          <w:p w14:paraId="454F959B">
            <w:pPr>
              <w:snapToGrid w:val="0"/>
              <w:spacing w:before="48" w:beforeLines="20" w:line="340" w:lineRule="exact"/>
              <w:jc w:val="center"/>
              <w:rPr>
                <w:rFonts w:hint="eastAsia" w:ascii="仿宋_GB2312" w:hAnsi="仿宋_GB2312" w:eastAsia="仿宋_GB2312" w:cs="仿宋_GB2312"/>
                <w:color w:val="000000"/>
                <w:sz w:val="24"/>
              </w:rPr>
            </w:pPr>
          </w:p>
        </w:tc>
        <w:tc>
          <w:tcPr>
            <w:tcW w:w="1362" w:type="dxa"/>
            <w:noWrap w:val="0"/>
            <w:vAlign w:val="center"/>
          </w:tcPr>
          <w:p w14:paraId="7D56857A">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联系电话</w:t>
            </w:r>
          </w:p>
        </w:tc>
        <w:tc>
          <w:tcPr>
            <w:tcW w:w="3483" w:type="dxa"/>
            <w:gridSpan w:val="3"/>
            <w:noWrap w:val="0"/>
            <w:vAlign w:val="center"/>
          </w:tcPr>
          <w:p w14:paraId="447A83A3">
            <w:pPr>
              <w:snapToGrid w:val="0"/>
              <w:spacing w:before="48" w:beforeLines="20" w:line="340" w:lineRule="exact"/>
              <w:jc w:val="center"/>
              <w:rPr>
                <w:rFonts w:hint="eastAsia" w:ascii="仿宋_GB2312" w:hAnsi="仿宋_GB2312" w:eastAsia="仿宋_GB2312" w:cs="仿宋_GB2312"/>
                <w:color w:val="000000"/>
                <w:sz w:val="24"/>
              </w:rPr>
            </w:pPr>
          </w:p>
        </w:tc>
      </w:tr>
      <w:tr w14:paraId="4458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596A641A">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职工人数</w:t>
            </w:r>
          </w:p>
        </w:tc>
        <w:tc>
          <w:tcPr>
            <w:tcW w:w="1061" w:type="dxa"/>
            <w:noWrap w:val="0"/>
            <w:vAlign w:val="center"/>
          </w:tcPr>
          <w:p w14:paraId="7DEA238E">
            <w:pPr>
              <w:snapToGrid w:val="0"/>
              <w:spacing w:before="48" w:beforeLines="20" w:line="340" w:lineRule="exact"/>
              <w:jc w:val="center"/>
              <w:rPr>
                <w:rFonts w:hint="eastAsia" w:ascii="仿宋_GB2312" w:hAnsi="仿宋_GB2312" w:eastAsia="仿宋_GB2312" w:cs="仿宋_GB2312"/>
                <w:color w:val="000000"/>
                <w:sz w:val="24"/>
              </w:rPr>
            </w:pPr>
          </w:p>
        </w:tc>
        <w:tc>
          <w:tcPr>
            <w:tcW w:w="1357" w:type="dxa"/>
            <w:gridSpan w:val="2"/>
            <w:noWrap w:val="0"/>
            <w:vAlign w:val="center"/>
          </w:tcPr>
          <w:p w14:paraId="20AE21D3">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研发人数</w:t>
            </w:r>
          </w:p>
        </w:tc>
        <w:tc>
          <w:tcPr>
            <w:tcW w:w="1362" w:type="dxa"/>
            <w:noWrap w:val="0"/>
            <w:vAlign w:val="center"/>
          </w:tcPr>
          <w:p w14:paraId="37134B3B">
            <w:pPr>
              <w:snapToGrid w:val="0"/>
              <w:spacing w:before="48" w:beforeLines="20" w:line="340" w:lineRule="exact"/>
              <w:jc w:val="center"/>
              <w:rPr>
                <w:rFonts w:hint="eastAsia" w:ascii="仿宋_GB2312" w:hAnsi="仿宋_GB2312" w:eastAsia="仿宋_GB2312" w:cs="仿宋_GB2312"/>
                <w:color w:val="000000"/>
                <w:sz w:val="24"/>
              </w:rPr>
            </w:pPr>
          </w:p>
        </w:tc>
        <w:tc>
          <w:tcPr>
            <w:tcW w:w="1335" w:type="dxa"/>
            <w:gridSpan w:val="2"/>
            <w:noWrap w:val="0"/>
            <w:vAlign w:val="center"/>
          </w:tcPr>
          <w:p w14:paraId="4094C06A">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总资产</w:t>
            </w:r>
          </w:p>
          <w:p w14:paraId="37EBD6FF">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（万元）</w:t>
            </w:r>
          </w:p>
        </w:tc>
        <w:tc>
          <w:tcPr>
            <w:tcW w:w="2148" w:type="dxa"/>
            <w:noWrap w:val="0"/>
            <w:vAlign w:val="center"/>
          </w:tcPr>
          <w:p w14:paraId="2A899537">
            <w:pPr>
              <w:snapToGrid w:val="0"/>
              <w:spacing w:before="48" w:beforeLines="20" w:line="340" w:lineRule="exact"/>
              <w:rPr>
                <w:rFonts w:hint="eastAsia" w:ascii="仿宋_GB2312" w:hAnsi="仿宋_GB2312" w:eastAsia="仿宋_GB2312" w:cs="仿宋_GB2312"/>
                <w:color w:val="000000"/>
                <w:sz w:val="24"/>
              </w:rPr>
            </w:pPr>
          </w:p>
        </w:tc>
      </w:tr>
      <w:tr w14:paraId="32FC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752" w:type="dxa"/>
            <w:gridSpan w:val="4"/>
            <w:noWrap w:val="0"/>
            <w:vAlign w:val="center"/>
          </w:tcPr>
          <w:p w14:paraId="6A2ED44F">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上年度销售额（万元）</w:t>
            </w:r>
          </w:p>
        </w:tc>
        <w:tc>
          <w:tcPr>
            <w:tcW w:w="1357" w:type="dxa"/>
            <w:gridSpan w:val="2"/>
            <w:noWrap w:val="0"/>
            <w:vAlign w:val="center"/>
          </w:tcPr>
          <w:p w14:paraId="0B9AAF18">
            <w:pPr>
              <w:snapToGrid w:val="0"/>
              <w:spacing w:before="48" w:beforeLines="20" w:line="340" w:lineRule="exact"/>
              <w:jc w:val="center"/>
              <w:rPr>
                <w:rFonts w:hint="eastAsia" w:ascii="仿宋_GB2312" w:hAnsi="仿宋_GB2312" w:eastAsia="仿宋_GB2312" w:cs="仿宋_GB2312"/>
                <w:color w:val="000000"/>
                <w:sz w:val="24"/>
              </w:rPr>
            </w:pPr>
          </w:p>
        </w:tc>
        <w:tc>
          <w:tcPr>
            <w:tcW w:w="2697" w:type="dxa"/>
            <w:gridSpan w:val="3"/>
            <w:noWrap w:val="0"/>
            <w:vAlign w:val="center"/>
          </w:tcPr>
          <w:p w14:paraId="7912AB2F">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上年度利润（万元）</w:t>
            </w:r>
          </w:p>
        </w:tc>
        <w:tc>
          <w:tcPr>
            <w:tcW w:w="2148" w:type="dxa"/>
            <w:noWrap w:val="0"/>
            <w:vAlign w:val="center"/>
          </w:tcPr>
          <w:p w14:paraId="753093DB">
            <w:pPr>
              <w:snapToGrid w:val="0"/>
              <w:spacing w:before="48" w:beforeLines="20" w:line="340" w:lineRule="exact"/>
              <w:rPr>
                <w:rFonts w:hint="eastAsia" w:ascii="仿宋_GB2312" w:hAnsi="仿宋_GB2312" w:eastAsia="仿宋_GB2312" w:cs="仿宋_GB2312"/>
                <w:color w:val="000000"/>
                <w:sz w:val="24"/>
              </w:rPr>
            </w:pPr>
          </w:p>
        </w:tc>
      </w:tr>
      <w:tr w14:paraId="77FA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5" w:hRule="atLeast"/>
        </w:trPr>
        <w:tc>
          <w:tcPr>
            <w:tcW w:w="861" w:type="dxa"/>
            <w:noWrap w:val="0"/>
            <w:vAlign w:val="center"/>
          </w:tcPr>
          <w:p w14:paraId="1DE5B957">
            <w:pPr>
              <w:keepNext w:val="0"/>
              <w:keepLines w:val="0"/>
              <w:widowControl w:val="0"/>
              <w:suppressLineNumbers w:val="0"/>
              <w:spacing w:before="0" w:beforeAutospacing="0" w:after="0" w:afterAutospacing="0"/>
              <w:ind w:left="0" w:right="0"/>
              <w:jc w:val="both"/>
            </w:pPr>
            <w:r>
              <w:rPr>
                <w:rFonts w:hint="eastAsia" w:ascii="仿宋_GB2312" w:hAnsi="Calibri" w:eastAsia="仿宋_GB2312" w:cs="仿宋_GB2312"/>
                <w:color w:val="000000"/>
                <w:kern w:val="2"/>
                <w:sz w:val="24"/>
                <w:szCs w:val="24"/>
                <w:lang w:val="en-US" w:eastAsia="zh-CN" w:bidi="ar"/>
              </w:rPr>
              <w:t>申报企业简介</w:t>
            </w:r>
          </w:p>
          <w:p w14:paraId="01D801B9">
            <w:pPr>
              <w:snapToGrid w:val="0"/>
              <w:spacing w:before="48" w:beforeLines="20" w:line="340" w:lineRule="exact"/>
              <w:rPr>
                <w:rFonts w:hint="eastAsia" w:ascii="仿宋_GB2312" w:hAnsi="仿宋_GB2312" w:eastAsia="仿宋_GB2312" w:cs="仿宋_GB2312"/>
                <w:color w:val="000000"/>
                <w:sz w:val="24"/>
              </w:rPr>
            </w:pPr>
          </w:p>
        </w:tc>
        <w:tc>
          <w:tcPr>
            <w:tcW w:w="8093" w:type="dxa"/>
            <w:gridSpan w:val="9"/>
            <w:noWrap w:val="0"/>
            <w:vAlign w:val="top"/>
          </w:tcPr>
          <w:p w14:paraId="02415B4B">
            <w:pPr>
              <w:snapToGrid w:val="0"/>
              <w:spacing w:before="48" w:beforeLines="20" w:line="34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（一）申报单位情况介绍</w:t>
            </w:r>
          </w:p>
          <w:p w14:paraId="653D74A6">
            <w:pPr>
              <w:snapToGrid w:val="0"/>
              <w:spacing w:before="48" w:beforeLines="20" w:line="34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发展历程、主营业务、市场销售等方面基本情况。</w:t>
            </w:r>
          </w:p>
          <w:p w14:paraId="27DFA291">
            <w:pPr>
              <w:snapToGrid w:val="0"/>
              <w:spacing w:before="48" w:beforeLines="20" w:line="34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（二）申报单位核心竞争力介绍</w:t>
            </w:r>
          </w:p>
          <w:p w14:paraId="0E86FA23">
            <w:pPr>
              <w:snapToGrid w:val="0"/>
              <w:spacing w:before="48" w:beforeLines="20" w:line="34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突出工业互联网平台技术、产品、解决方案等相关能力，包括优势技术、人才队伍、研发能力、实施能力、服务保障、应用效果等。</w:t>
            </w:r>
          </w:p>
          <w:p w14:paraId="3B3704F2">
            <w:pPr>
              <w:snapToGrid w:val="0"/>
              <w:spacing w:before="48" w:beforeLines="20" w:line="340" w:lineRule="exact"/>
              <w:rPr>
                <w:rFonts w:hint="eastAsia" w:ascii="仿宋_GB2312" w:hAnsi="仿宋_GB2312" w:eastAsia="仿宋_GB2312" w:cs="仿宋_GB2312"/>
                <w:color w:val="000000"/>
                <w:sz w:val="24"/>
              </w:rPr>
            </w:pPr>
          </w:p>
          <w:p w14:paraId="6FD9499F">
            <w:pPr>
              <w:pStyle w:val="2"/>
              <w:rPr>
                <w:rFonts w:hint="eastAsia" w:ascii="仿宋_GB2312" w:hAnsi="仿宋_GB2312" w:eastAsia="仿宋_GB2312" w:cs="仿宋_GB2312"/>
                <w:color w:val="000000"/>
                <w:sz w:val="24"/>
              </w:rPr>
            </w:pPr>
          </w:p>
          <w:p w14:paraId="2E6CC937">
            <w:pPr>
              <w:pStyle w:val="2"/>
              <w:rPr>
                <w:rFonts w:hint="eastAsia" w:ascii="仿宋_GB2312" w:hAnsi="仿宋_GB2312" w:eastAsia="仿宋_GB2312" w:cs="仿宋_GB2312"/>
                <w:color w:val="000000"/>
                <w:sz w:val="24"/>
              </w:rPr>
            </w:pPr>
          </w:p>
          <w:p w14:paraId="6AC4D25E">
            <w:pPr>
              <w:snapToGrid w:val="0"/>
              <w:spacing w:before="48" w:beforeLines="20" w:line="340" w:lineRule="exact"/>
              <w:rPr>
                <w:rFonts w:hint="eastAsia" w:ascii="仿宋_GB2312" w:hAnsi="仿宋_GB2312" w:eastAsia="仿宋_GB2312" w:cs="仿宋_GB2312"/>
                <w:color w:val="000000"/>
                <w:sz w:val="24"/>
              </w:rPr>
            </w:pPr>
          </w:p>
          <w:p w14:paraId="0E55DE78">
            <w:pPr>
              <w:pStyle w:val="2"/>
              <w:rPr>
                <w:rFonts w:hint="eastAsia" w:ascii="仿宋_GB2312" w:hAnsi="仿宋_GB2312" w:eastAsia="仿宋_GB2312" w:cs="仿宋_GB2312"/>
                <w:color w:val="000000"/>
                <w:sz w:val="24"/>
              </w:rPr>
            </w:pPr>
          </w:p>
          <w:p w14:paraId="1FC4ACCA">
            <w:pPr>
              <w:pStyle w:val="2"/>
              <w:rPr>
                <w:rFonts w:hint="eastAsia" w:ascii="仿宋_GB2312" w:hAnsi="仿宋_GB2312" w:eastAsia="仿宋_GB2312" w:cs="仿宋_GB2312"/>
                <w:color w:val="000000"/>
                <w:sz w:val="24"/>
              </w:rPr>
            </w:pPr>
          </w:p>
          <w:p w14:paraId="339392B9">
            <w:pPr>
              <w:snapToGrid w:val="0"/>
              <w:spacing w:before="48" w:beforeLines="20" w:line="340" w:lineRule="exact"/>
              <w:rPr>
                <w:rFonts w:hint="eastAsia" w:ascii="仿宋_GB2312" w:hAnsi="仿宋_GB2312" w:eastAsia="仿宋_GB2312" w:cs="仿宋_GB2312"/>
                <w:color w:val="000000"/>
                <w:sz w:val="24"/>
              </w:rPr>
            </w:pPr>
          </w:p>
          <w:p w14:paraId="091F6BCC">
            <w:pPr>
              <w:snapToGrid w:val="0"/>
              <w:spacing w:before="48" w:beforeLines="20" w:line="340" w:lineRule="exact"/>
              <w:rPr>
                <w:rFonts w:hint="eastAsia" w:ascii="仿宋_GB2312" w:hAnsi="仿宋_GB2312" w:eastAsia="仿宋_GB2312" w:cs="仿宋_GB2312"/>
                <w:color w:val="000000"/>
                <w:sz w:val="24"/>
              </w:rPr>
            </w:pPr>
          </w:p>
          <w:p w14:paraId="0152B098">
            <w:pPr>
              <w:snapToGrid w:val="0"/>
              <w:spacing w:before="48" w:beforeLines="20" w:line="340" w:lineRule="exact"/>
              <w:rPr>
                <w:rFonts w:hint="eastAsia" w:ascii="仿宋_GB2312" w:hAnsi="仿宋_GB2312" w:eastAsia="仿宋_GB2312" w:cs="仿宋_GB2312"/>
                <w:color w:val="000000"/>
                <w:sz w:val="24"/>
              </w:rPr>
            </w:pPr>
          </w:p>
        </w:tc>
      </w:tr>
      <w:tr w14:paraId="7BAA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8954" w:type="dxa"/>
            <w:gridSpan w:val="10"/>
            <w:noWrap w:val="0"/>
            <w:vAlign w:val="center"/>
          </w:tcPr>
          <w:p w14:paraId="655DC8BD">
            <w:pPr>
              <w:snapToGrid w:val="0"/>
              <w:spacing w:before="48" w:beforeLines="20" w:line="340" w:lineRule="exact"/>
              <w:rPr>
                <w:rFonts w:ascii="Times New Roman" w:hAnsi="Times New Roman"/>
                <w:color w:val="000000"/>
                <w:sz w:val="24"/>
              </w:rPr>
            </w:pPr>
            <w:r>
              <w:rPr>
                <w:rFonts w:ascii="Times New Roman" w:hAnsi="Times New Roman"/>
                <w:b/>
                <w:bCs/>
                <w:color w:val="000000"/>
                <w:sz w:val="24"/>
              </w:rPr>
              <w:t>（二）</w:t>
            </w:r>
            <w:r>
              <w:rPr>
                <w:rFonts w:hint="eastAsia" w:ascii="Times New Roman" w:hAnsi="Times New Roman"/>
                <w:b/>
                <w:bCs/>
                <w:color w:val="000000"/>
                <w:sz w:val="24"/>
                <w:lang w:eastAsia="zh-CN"/>
              </w:rPr>
              <w:t>平台</w:t>
            </w:r>
            <w:r>
              <w:rPr>
                <w:rFonts w:ascii="Times New Roman" w:hAnsi="Times New Roman"/>
                <w:b/>
                <w:bCs/>
                <w:color w:val="000000"/>
                <w:sz w:val="24"/>
              </w:rPr>
              <w:t>基本信息</w:t>
            </w:r>
          </w:p>
        </w:tc>
      </w:tr>
      <w:tr w14:paraId="3036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80" w:type="dxa"/>
            <w:gridSpan w:val="2"/>
            <w:noWrap w:val="0"/>
            <w:vAlign w:val="center"/>
          </w:tcPr>
          <w:p w14:paraId="4146A1A6">
            <w:pPr>
              <w:snapToGrid w:val="0"/>
              <w:spacing w:before="48" w:beforeLines="20" w:line="3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平台名称</w:t>
            </w:r>
          </w:p>
        </w:tc>
        <w:tc>
          <w:tcPr>
            <w:tcW w:w="7274" w:type="dxa"/>
            <w:gridSpan w:val="8"/>
            <w:noWrap w:val="0"/>
            <w:vAlign w:val="center"/>
          </w:tcPr>
          <w:p w14:paraId="3345710B">
            <w:pPr>
              <w:snapToGrid w:val="0"/>
              <w:spacing w:before="48" w:beforeLines="20" w:line="340" w:lineRule="exact"/>
              <w:jc w:val="center"/>
              <w:rPr>
                <w:rFonts w:hint="eastAsia" w:ascii="仿宋_GB2312" w:hAnsi="仿宋_GB2312" w:eastAsia="仿宋_GB2312" w:cs="仿宋_GB2312"/>
                <w:color w:val="000000"/>
                <w:sz w:val="24"/>
              </w:rPr>
            </w:pPr>
          </w:p>
        </w:tc>
      </w:tr>
      <w:tr w14:paraId="0929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80" w:type="dxa"/>
            <w:gridSpan w:val="2"/>
            <w:noWrap w:val="0"/>
            <w:vAlign w:val="center"/>
          </w:tcPr>
          <w:p w14:paraId="66CEEED8">
            <w:pPr>
              <w:snapToGrid w:val="0"/>
              <w:spacing w:line="360" w:lineRule="exact"/>
              <w:ind w:firstLine="0" w:firstLineChars="0"/>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rPr>
              <w:t>平台类别</w:t>
            </w:r>
          </w:p>
        </w:tc>
        <w:tc>
          <w:tcPr>
            <w:tcW w:w="7274" w:type="dxa"/>
            <w:gridSpan w:val="8"/>
            <w:noWrap w:val="0"/>
            <w:vAlign w:val="center"/>
          </w:tcPr>
          <w:p w14:paraId="3D584C85">
            <w:pPr>
              <w:spacing w:line="440" w:lineRule="exact"/>
              <w:contextualSpacing/>
              <w:rPr>
                <w:rFonts w:eastAsia="仿宋"/>
                <w:color w:val="000000"/>
                <w:kern w:val="0"/>
                <w:sz w:val="24"/>
                <w:szCs w:val="24"/>
              </w:rPr>
            </w:pPr>
            <w:r>
              <w:rPr>
                <w:rFonts w:eastAsia="仿宋"/>
                <w:color w:val="000000"/>
                <w:kern w:val="0"/>
                <w:sz w:val="24"/>
                <w:szCs w:val="24"/>
              </w:rPr>
              <w:t>□行业特色型工业互联网平台</w:t>
            </w:r>
          </w:p>
          <w:p w14:paraId="24C77357">
            <w:pPr>
              <w:spacing w:line="440" w:lineRule="exact"/>
              <w:contextualSpacing/>
              <w:rPr>
                <w:rFonts w:eastAsia="仿宋"/>
                <w:color w:val="000000"/>
                <w:kern w:val="0"/>
                <w:sz w:val="24"/>
                <w:szCs w:val="24"/>
              </w:rPr>
            </w:pPr>
            <w:r>
              <w:rPr>
                <w:rFonts w:eastAsia="仿宋"/>
                <w:color w:val="000000"/>
                <w:kern w:val="0"/>
                <w:sz w:val="24"/>
                <w:szCs w:val="24"/>
              </w:rPr>
              <w:t>□区域特色型工业互联网平台</w:t>
            </w:r>
          </w:p>
          <w:p w14:paraId="6DE22BC9">
            <w:pPr>
              <w:snapToGrid w:val="0"/>
              <w:spacing w:line="360" w:lineRule="exact"/>
              <w:ind w:firstLine="0" w:firstLineChars="0"/>
              <w:jc w:val="center"/>
              <w:rPr>
                <w:rFonts w:hint="eastAsia" w:ascii="仿宋_GB2312" w:hAnsi="仿宋_GB2312" w:eastAsia="仿宋_GB2312" w:cs="仿宋_GB2312"/>
                <w:color w:val="000000"/>
                <w:kern w:val="0"/>
                <w:sz w:val="24"/>
                <w:szCs w:val="24"/>
                <w:lang w:val="en-US" w:eastAsia="zh-CN" w:bidi="ar-SA"/>
              </w:rPr>
            </w:pPr>
          </w:p>
        </w:tc>
      </w:tr>
      <w:tr w14:paraId="5425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1680" w:type="dxa"/>
            <w:gridSpan w:val="2"/>
            <w:noWrap w:val="0"/>
            <w:vAlign w:val="center"/>
          </w:tcPr>
          <w:p w14:paraId="1DBC592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baseline"/>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sz w:val="24"/>
                <w:szCs w:val="24"/>
                <w:lang w:eastAsia="zh-CN"/>
              </w:rPr>
              <w:t>服务</w:t>
            </w:r>
            <w:r>
              <w:rPr>
                <w:rFonts w:hint="eastAsia" w:ascii="仿宋_GB2312" w:hAnsi="仿宋_GB2312" w:eastAsia="仿宋_GB2312" w:cs="仿宋_GB2312"/>
                <w:color w:val="000000"/>
                <w:sz w:val="24"/>
                <w:szCs w:val="24"/>
              </w:rPr>
              <w:t>行业</w:t>
            </w:r>
          </w:p>
        </w:tc>
        <w:tc>
          <w:tcPr>
            <w:tcW w:w="7274" w:type="dxa"/>
            <w:gridSpan w:val="8"/>
            <w:noWrap w:val="0"/>
            <w:vAlign w:val="center"/>
          </w:tcPr>
          <w:p w14:paraId="2B0F519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eastAsia="zh-CN"/>
              </w:rPr>
              <w:t>□有色金属</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sym w:font="Wingdings 2" w:char="00A3"/>
            </w:r>
            <w:r>
              <w:rPr>
                <w:rFonts w:hint="eastAsia" w:ascii="仿宋_GB2312" w:hAnsi="仿宋_GB2312" w:eastAsia="仿宋_GB2312" w:cs="仿宋_GB2312"/>
                <w:color w:val="000000"/>
                <w:sz w:val="24"/>
                <w:szCs w:val="24"/>
                <w:lang w:eastAsia="zh-CN"/>
              </w:rPr>
              <w:t>机械装备</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lang w:val="en-US" w:eastAsia="zh-CN"/>
              </w:rPr>
              <w:t xml:space="preserve">电子信息    </w:t>
            </w:r>
            <w:r>
              <w:rPr>
                <w:rFonts w:hint="eastAsia" w:ascii="仿宋_GB2312" w:hAnsi="仿宋_GB2312" w:eastAsia="仿宋_GB2312" w:cs="仿宋_GB2312"/>
                <w:color w:val="000000"/>
                <w:sz w:val="24"/>
                <w:szCs w:val="24"/>
              </w:rPr>
              <w:t>□新材料</w:t>
            </w:r>
            <w:r>
              <w:rPr>
                <w:rFonts w:hint="eastAsia" w:ascii="仿宋_GB2312" w:hAnsi="仿宋_GB2312" w:eastAsia="仿宋_GB2312" w:cs="仿宋_GB2312"/>
                <w:color w:val="000000"/>
                <w:sz w:val="24"/>
                <w:szCs w:val="24"/>
                <w:lang w:val="en-US" w:eastAsia="zh-CN"/>
              </w:rPr>
              <w:t xml:space="preserve">    </w:t>
            </w:r>
          </w:p>
          <w:p w14:paraId="76D2E6F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baseline"/>
              <w:rPr>
                <w:rFonts w:hint="eastAsia" w:ascii="仿宋_GB2312" w:hAnsi="仿宋_GB2312" w:eastAsia="仿宋_GB2312" w:cs="仿宋_GB2312"/>
                <w:color w:val="000000"/>
                <w:kern w:val="0"/>
                <w:sz w:val="24"/>
                <w:szCs w:val="24"/>
                <w:u w:val="single"/>
                <w:lang w:val="en-US" w:eastAsia="zh-CN" w:bidi="ar-SA"/>
              </w:rPr>
            </w:pP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其他</w:t>
            </w:r>
            <w:r>
              <w:rPr>
                <w:rFonts w:hint="eastAsia" w:ascii="仿宋_GB2312" w:hAnsi="仿宋_GB2312" w:eastAsia="仿宋_GB2312" w:cs="仿宋_GB2312"/>
                <w:color w:val="000000"/>
                <w:sz w:val="24"/>
                <w:szCs w:val="24"/>
                <w:u w:val="single"/>
                <w:lang w:val="en-US" w:eastAsia="zh-CN"/>
              </w:rPr>
              <w:t xml:space="preserve">             </w:t>
            </w:r>
          </w:p>
        </w:tc>
      </w:tr>
      <w:tr w14:paraId="7239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680" w:type="dxa"/>
            <w:gridSpan w:val="2"/>
            <w:noWrap w:val="0"/>
            <w:vAlign w:val="center"/>
          </w:tcPr>
          <w:p w14:paraId="67AB531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baseline"/>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val="en-US" w:eastAsia="zh-CN"/>
              </w:rPr>
              <w:t>项目总投资（万元）</w:t>
            </w:r>
          </w:p>
        </w:tc>
        <w:tc>
          <w:tcPr>
            <w:tcW w:w="2424" w:type="dxa"/>
            <w:gridSpan w:val="3"/>
            <w:noWrap w:val="0"/>
            <w:vAlign w:val="center"/>
          </w:tcPr>
          <w:p w14:paraId="58ECC52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baseline"/>
              <w:rPr>
                <w:rFonts w:hint="eastAsia" w:ascii="仿宋_GB2312" w:hAnsi="仿宋_GB2312" w:eastAsia="仿宋_GB2312" w:cs="仿宋_GB2312"/>
                <w:color w:val="000000"/>
                <w:sz w:val="24"/>
                <w:szCs w:val="24"/>
                <w:lang w:eastAsia="zh-CN"/>
              </w:rPr>
            </w:pPr>
          </w:p>
        </w:tc>
        <w:tc>
          <w:tcPr>
            <w:tcW w:w="2424" w:type="dxa"/>
            <w:gridSpan w:val="3"/>
            <w:noWrap w:val="0"/>
            <w:vAlign w:val="center"/>
          </w:tcPr>
          <w:p w14:paraId="18FFF2C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baseline"/>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val="en-US" w:eastAsia="zh-CN" w:bidi="ar-SA"/>
              </w:rPr>
              <w:t>建设期限</w:t>
            </w:r>
          </w:p>
        </w:tc>
        <w:tc>
          <w:tcPr>
            <w:tcW w:w="2426" w:type="dxa"/>
            <w:gridSpan w:val="2"/>
            <w:noWrap w:val="0"/>
            <w:vAlign w:val="center"/>
          </w:tcPr>
          <w:p w14:paraId="33FC522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baseline"/>
              <w:rPr>
                <w:rFonts w:hint="eastAsia" w:ascii="仿宋_GB2312" w:hAnsi="仿宋_GB2312" w:eastAsia="仿宋_GB2312" w:cs="仿宋_GB2312"/>
                <w:color w:val="000000"/>
                <w:sz w:val="24"/>
                <w:szCs w:val="24"/>
                <w:lang w:eastAsia="zh-CN"/>
              </w:rPr>
            </w:pPr>
          </w:p>
        </w:tc>
      </w:tr>
      <w:tr w14:paraId="4615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80" w:type="dxa"/>
            <w:gridSpan w:val="2"/>
            <w:noWrap w:val="0"/>
            <w:vAlign w:val="center"/>
          </w:tcPr>
          <w:p w14:paraId="7D21B820">
            <w:pPr>
              <w:snapToGrid w:val="0"/>
              <w:spacing w:line="360" w:lineRule="exact"/>
              <w:ind w:firstLine="0" w:firstLineChars="0"/>
              <w:jc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lang w:eastAsia="zh-CN"/>
              </w:rPr>
              <w:t>平台核心指标</w:t>
            </w:r>
          </w:p>
        </w:tc>
        <w:tc>
          <w:tcPr>
            <w:tcW w:w="7274" w:type="dxa"/>
            <w:gridSpan w:val="8"/>
            <w:noWrap w:val="0"/>
            <w:vAlign w:val="center"/>
          </w:tcPr>
          <w:p w14:paraId="4B039956">
            <w:pPr>
              <w:pStyle w:val="9"/>
              <w:spacing w:line="300" w:lineRule="exact"/>
              <w:ind w:firstLine="0" w:firstLineChars="0"/>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bidi="ar-SA"/>
              </w:rPr>
              <w:t>工业APP数（个）：</w:t>
            </w:r>
          </w:p>
          <w:p w14:paraId="6B6737E8">
            <w:pPr>
              <w:pStyle w:val="9"/>
              <w:spacing w:line="300" w:lineRule="exact"/>
              <w:ind w:firstLine="0" w:firstLineChars="0"/>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bidi="ar-SA"/>
              </w:rPr>
              <w:t>解决方案数（个）：</w:t>
            </w:r>
          </w:p>
          <w:p w14:paraId="6B085AFC">
            <w:pPr>
              <w:pStyle w:val="9"/>
              <w:spacing w:line="300" w:lineRule="exact"/>
              <w:ind w:firstLine="0" w:firstLineChars="0"/>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bidi="ar-SA"/>
              </w:rPr>
              <w:t>服务企业数（家）：</w:t>
            </w:r>
          </w:p>
          <w:p w14:paraId="7C151F4E">
            <w:pPr>
              <w:pStyle w:val="9"/>
              <w:spacing w:line="300" w:lineRule="exact"/>
              <w:ind w:firstLine="0" w:firstLineChars="0"/>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bidi="ar-SA"/>
              </w:rPr>
              <w:t>接入设备数（台/套）：</w:t>
            </w:r>
          </w:p>
          <w:p w14:paraId="2D84B9E9">
            <w:pPr>
              <w:pStyle w:val="9"/>
              <w:spacing w:line="300" w:lineRule="exact"/>
              <w:ind w:firstLine="0" w:firstLineChars="0"/>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bidi="ar-SA"/>
              </w:rPr>
              <w:t>年服务收入（万元）：</w:t>
            </w:r>
          </w:p>
        </w:tc>
      </w:tr>
      <w:tr w14:paraId="1909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5" w:hRule="atLeast"/>
        </w:trPr>
        <w:tc>
          <w:tcPr>
            <w:tcW w:w="1680" w:type="dxa"/>
            <w:gridSpan w:val="2"/>
            <w:noWrap w:val="0"/>
            <w:vAlign w:val="center"/>
          </w:tcPr>
          <w:p w14:paraId="4771BD4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baseline"/>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平台情况介绍</w:t>
            </w:r>
          </w:p>
        </w:tc>
        <w:tc>
          <w:tcPr>
            <w:tcW w:w="7274" w:type="dxa"/>
            <w:gridSpan w:val="8"/>
            <w:noWrap w:val="0"/>
            <w:vAlign w:val="top"/>
          </w:tcPr>
          <w:p w14:paraId="57BE4043">
            <w:pPr>
              <w:pStyle w:val="9"/>
              <w:spacing w:line="300" w:lineRule="exact"/>
              <w:ind w:firstLine="0" w:firstLineChars="0"/>
              <w:jc w:val="both"/>
              <w:rPr>
                <w:rFonts w:hint="eastAsia" w:ascii="仿宋_GB2312" w:hAnsi="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bidi="ar-SA"/>
              </w:rPr>
              <w:t>一、平台重点推出的解决方案和产品；</w:t>
            </w:r>
          </w:p>
          <w:p w14:paraId="7330C4BF">
            <w:pPr>
              <w:pStyle w:val="9"/>
              <w:spacing w:line="300" w:lineRule="exact"/>
              <w:ind w:firstLine="0" w:firstLineChars="0"/>
              <w:jc w:val="both"/>
              <w:rPr>
                <w:rFonts w:hint="eastAsia" w:ascii="仿宋_GB2312" w:hAnsi="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bidi="ar-SA"/>
              </w:rPr>
              <w:t>二、</w:t>
            </w:r>
            <w:r>
              <w:rPr>
                <w:rFonts w:hint="default" w:ascii="仿宋_GB2312" w:hAnsi="仿宋_GB2312" w:cs="仿宋_GB2312"/>
                <w:color w:val="000000"/>
                <w:kern w:val="0"/>
                <w:sz w:val="24"/>
                <w:szCs w:val="24"/>
                <w:lang w:val="en-US" w:eastAsia="zh-CN" w:bidi="ar-SA"/>
              </w:rPr>
              <w:t>平台基础</w:t>
            </w:r>
            <w:r>
              <w:rPr>
                <w:rFonts w:hint="eastAsia" w:ascii="仿宋_GB2312" w:hAnsi="仿宋_GB2312" w:cs="仿宋_GB2312"/>
                <w:color w:val="000000"/>
                <w:kern w:val="0"/>
                <w:sz w:val="24"/>
                <w:szCs w:val="24"/>
                <w:lang w:val="en-US" w:eastAsia="zh-CN" w:bidi="ar-SA"/>
              </w:rPr>
              <w:t>技术能力、</w:t>
            </w:r>
            <w:r>
              <w:rPr>
                <w:rFonts w:hint="default" w:ascii="仿宋_GB2312" w:hAnsi="仿宋_GB2312" w:cs="仿宋_GB2312"/>
                <w:color w:val="000000"/>
                <w:kern w:val="0"/>
                <w:sz w:val="24"/>
                <w:szCs w:val="24"/>
                <w:lang w:val="en-US" w:eastAsia="zh-CN" w:bidi="ar-SA"/>
              </w:rPr>
              <w:t>资源</w:t>
            </w:r>
            <w:r>
              <w:rPr>
                <w:rFonts w:hint="eastAsia" w:ascii="仿宋_GB2312" w:hAnsi="仿宋_GB2312" w:cs="仿宋_GB2312"/>
                <w:color w:val="000000"/>
                <w:kern w:val="0"/>
                <w:sz w:val="24"/>
                <w:szCs w:val="24"/>
                <w:lang w:val="en-US" w:eastAsia="zh-CN" w:bidi="ar-SA"/>
              </w:rPr>
              <w:t>管理能力等；</w:t>
            </w:r>
          </w:p>
          <w:p w14:paraId="29CD3FC1">
            <w:pPr>
              <w:pStyle w:val="9"/>
              <w:spacing w:line="300" w:lineRule="exact"/>
              <w:ind w:firstLine="0" w:firstLineChars="0"/>
              <w:jc w:val="both"/>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bidi="ar-SA"/>
              </w:rPr>
              <w:t>三、平台运营模式和服务内容</w:t>
            </w:r>
            <w:r>
              <w:rPr>
                <w:rFonts w:hint="eastAsia" w:ascii="仿宋_GB2312" w:hAnsi="仿宋_GB2312" w:eastAsia="仿宋_GB2312" w:cs="仿宋_GB2312"/>
                <w:color w:val="000000"/>
                <w:kern w:val="0"/>
                <w:sz w:val="24"/>
                <w:szCs w:val="24"/>
                <w:lang w:val="en-US" w:eastAsia="zh-CN" w:bidi="ar-SA"/>
              </w:rPr>
              <w:t>；</w:t>
            </w:r>
          </w:p>
          <w:p w14:paraId="48825998">
            <w:pPr>
              <w:pStyle w:val="9"/>
              <w:spacing w:line="300" w:lineRule="exact"/>
              <w:ind w:firstLine="0" w:firstLineChars="0"/>
              <w:jc w:val="both"/>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bidi="ar-SA"/>
              </w:rPr>
              <w:t>四、</w:t>
            </w:r>
            <w:r>
              <w:rPr>
                <w:rFonts w:hint="eastAsia" w:ascii="仿宋_GB2312" w:hAnsi="仿宋_GB2312" w:eastAsia="仿宋_GB2312" w:cs="仿宋_GB2312"/>
                <w:color w:val="000000"/>
                <w:kern w:val="0"/>
                <w:sz w:val="24"/>
                <w:szCs w:val="24"/>
                <w:lang w:val="en-US" w:eastAsia="zh-CN" w:bidi="ar-SA"/>
              </w:rPr>
              <w:t>平台商业模式和</w:t>
            </w:r>
            <w:r>
              <w:rPr>
                <w:rFonts w:hint="eastAsia" w:ascii="仿宋_GB2312" w:hAnsi="仿宋_GB2312" w:cs="仿宋_GB2312"/>
                <w:color w:val="000000"/>
                <w:kern w:val="0"/>
                <w:sz w:val="24"/>
                <w:szCs w:val="24"/>
                <w:lang w:val="en-US" w:eastAsia="zh-CN" w:bidi="ar-SA"/>
              </w:rPr>
              <w:t>推广优势</w:t>
            </w:r>
            <w:r>
              <w:rPr>
                <w:rFonts w:hint="eastAsia" w:ascii="仿宋_GB2312" w:hAnsi="仿宋_GB2312" w:eastAsia="仿宋_GB2312" w:cs="仿宋_GB2312"/>
                <w:color w:val="000000"/>
                <w:kern w:val="0"/>
                <w:sz w:val="24"/>
                <w:szCs w:val="24"/>
                <w:lang w:val="en-US" w:eastAsia="zh-CN" w:bidi="ar-SA"/>
              </w:rPr>
              <w:t>；</w:t>
            </w:r>
          </w:p>
          <w:p w14:paraId="41D8B5E6">
            <w:pPr>
              <w:pStyle w:val="9"/>
              <w:spacing w:line="300" w:lineRule="exact"/>
              <w:ind w:firstLine="0" w:firstLineChars="0"/>
              <w:jc w:val="both"/>
              <w:rPr>
                <w:rFonts w:hint="eastAsia" w:ascii="仿宋_GB2312" w:hAnsi="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bidi="ar-SA"/>
              </w:rPr>
              <w:t>五、平台服务企业情况，取得的成效；</w:t>
            </w:r>
          </w:p>
          <w:p w14:paraId="0C9F2E69">
            <w:pPr>
              <w:pStyle w:val="9"/>
              <w:spacing w:line="300" w:lineRule="exact"/>
              <w:ind w:firstLine="0" w:firstLineChars="0"/>
              <w:jc w:val="both"/>
              <w:rPr>
                <w:rFonts w:hint="default" w:ascii="仿宋_GB2312" w:hAnsi="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bidi="ar-SA"/>
              </w:rPr>
              <w:t>六、平台发展方向和未来计划。</w:t>
            </w:r>
          </w:p>
        </w:tc>
      </w:tr>
    </w:tbl>
    <w:p w14:paraId="0EEB3B1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Nimbus Roman No9 L">
    <w:altName w:val="微软雅黑"/>
    <w:panose1 w:val="00000000000000000000"/>
    <w:charset w:val="00"/>
    <w:family w:val="auto"/>
    <w:pitch w:val="default"/>
    <w:sig w:usb0="00000000" w:usb1="00000000" w:usb2="00000000"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A1626C"/>
    <w:rsid w:val="1CA16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overflowPunct w:val="0"/>
      <w:autoSpaceDE w:val="0"/>
      <w:autoSpaceDN w:val="0"/>
      <w:adjustRightInd w:val="0"/>
      <w:spacing w:after="160"/>
      <w:textAlignment w:val="baseline"/>
    </w:pPr>
    <w:rPr>
      <w:rFonts w:ascii="Calibri" w:hAnsi="Calibri" w:eastAsia="宋体" w:cs="Times New Roman"/>
      <w:kern w:val="0"/>
      <w:sz w:val="20"/>
    </w:rPr>
  </w:style>
  <w:style w:type="paragraph" w:styleId="3">
    <w:name w:val="Body Text Indent"/>
    <w:basedOn w:val="1"/>
    <w:unhideWhenUsed/>
    <w:qFormat/>
    <w:uiPriority w:val="99"/>
    <w:pPr>
      <w:ind w:left="420" w:leftChars="200"/>
    </w:p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 w:type="paragraph" w:styleId="5">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6">
    <w:name w:val="Body Text First Indent 2"/>
    <w:basedOn w:val="3"/>
    <w:next w:val="1"/>
    <w:unhideWhenUsed/>
    <w:qFormat/>
    <w:uiPriority w:val="99"/>
    <w:pPr>
      <w:ind w:left="0" w:leftChars="0" w:firstLine="420"/>
    </w:pPr>
  </w:style>
  <w:style w:type="paragraph" w:customStyle="1" w:styleId="9">
    <w:name w:val="正文文本1"/>
    <w:qFormat/>
    <w:uiPriority w:val="0"/>
    <w:pPr>
      <w:widowControl w:val="0"/>
      <w:spacing w:after="120"/>
      <w:ind w:firstLine="200" w:firstLineChars="200"/>
      <w:jc w:val="both"/>
    </w:pPr>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2025-10-22T01:53:00Z</dcterms:created>
  <dc:creator>Administrator</dc:creator>
  <cp:lastModifiedBy>Administrator</cp:lastModifiedBy>
  <dcterms:modified xsi:type="dcterms:W3CDTF">2025-10-22T01:54:54Z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00A2BBF022224D85B3A1106BE44B86C2_11</vt:lpwstr>
  </property>
  <property fmtid="{D5CDD505-2E9C-101B-9397-08002B2CF9AE}" pid="4" name="KSOTemplateDocerSaveRecord">
    <vt:lpwstr>eyJoZGlkIjoiZjcyYWZiZWZjODE4MTNhYTk0MzEwZDBmNmMwNmJjY2YifQ==</vt:lpwstr>
  </property>
</Properties>
</file>