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wordWrap/>
        <w:adjustRightInd/>
        <w:snapToGrid/>
        <w:spacing w:line="600" w:lineRule="exact"/>
        <w:jc w:val="center"/>
        <w:textAlignment w:val="auto"/>
        <w:rPr>
          <w:rFonts w:hint="eastAsia" w:ascii="方正小标宋简体" w:eastAsia="方正小标宋简体"/>
          <w:color w:val="auto"/>
          <w:sz w:val="44"/>
          <w:szCs w:val="44"/>
        </w:rPr>
      </w:pPr>
    </w:p>
    <w:p>
      <w:pPr>
        <w:widowControl w:val="0"/>
        <w:wordWrap/>
        <w:adjustRightInd/>
        <w:snapToGrid/>
        <w:spacing w:line="600" w:lineRule="exact"/>
        <w:jc w:val="center"/>
        <w:textAlignment w:val="auto"/>
        <w:rPr>
          <w:rFonts w:hint="eastAsia" w:ascii="方正小标宋简体" w:eastAsia="方正小标宋简体"/>
          <w:color w:val="auto"/>
          <w:sz w:val="44"/>
          <w:szCs w:val="44"/>
        </w:rPr>
      </w:pPr>
    </w:p>
    <w:p>
      <w:pPr>
        <w:widowControl w:val="0"/>
        <w:wordWrap/>
        <w:adjustRightInd/>
        <w:snapToGrid/>
        <w:spacing w:line="600" w:lineRule="exact"/>
        <w:jc w:val="center"/>
        <w:textAlignment w:val="auto"/>
        <w:rPr>
          <w:rFonts w:hint="eastAsia" w:ascii="方正小标宋简体" w:eastAsia="方正小标宋简体"/>
          <w:color w:val="auto"/>
          <w:sz w:val="44"/>
          <w:szCs w:val="44"/>
        </w:rPr>
      </w:pPr>
    </w:p>
    <w:p>
      <w:pPr>
        <w:widowControl w:val="0"/>
        <w:wordWrap/>
        <w:adjustRightInd/>
        <w:snapToGrid/>
        <w:spacing w:line="600" w:lineRule="exact"/>
        <w:jc w:val="center"/>
        <w:textAlignment w:val="auto"/>
        <w:rPr>
          <w:rFonts w:hint="eastAsia" w:ascii="方正小标宋简体" w:eastAsia="方正小标宋简体"/>
          <w:color w:val="auto"/>
          <w:sz w:val="44"/>
          <w:szCs w:val="44"/>
        </w:rPr>
      </w:pPr>
    </w:p>
    <w:p>
      <w:pPr>
        <w:widowControl w:val="0"/>
        <w:wordWrap/>
        <w:adjustRightInd/>
        <w:snapToGrid/>
        <w:spacing w:line="600" w:lineRule="exact"/>
        <w:jc w:val="center"/>
        <w:textAlignment w:val="auto"/>
        <w:rPr>
          <w:rFonts w:hint="eastAsia" w:ascii="方正小标宋简体" w:eastAsia="方正小标宋简体"/>
          <w:color w:val="auto"/>
          <w:sz w:val="44"/>
          <w:szCs w:val="44"/>
        </w:rPr>
      </w:pPr>
    </w:p>
    <w:p>
      <w:pPr>
        <w:widowControl w:val="0"/>
        <w:wordWrap/>
        <w:adjustRightInd/>
        <w:snapToGrid/>
        <w:spacing w:line="600" w:lineRule="exact"/>
        <w:jc w:val="center"/>
        <w:textAlignment w:val="auto"/>
        <w:rPr>
          <w:rFonts w:hint="eastAsia" w:ascii="方正小标宋简体" w:eastAsia="方正小标宋简体"/>
          <w:color w:val="auto"/>
          <w:sz w:val="44"/>
          <w:szCs w:val="44"/>
        </w:rPr>
      </w:pPr>
    </w:p>
    <w:p>
      <w:pPr>
        <w:widowControl w:val="0"/>
        <w:wordWrap/>
        <w:adjustRightInd/>
        <w:snapToGrid/>
        <w:spacing w:line="500" w:lineRule="exact"/>
        <w:jc w:val="center"/>
        <w:textAlignment w:val="auto"/>
        <w:rPr>
          <w:rFonts w:hint="eastAsia" w:ascii="方正小标宋简体" w:eastAsia="方正小标宋简体"/>
          <w:color w:val="auto"/>
          <w:sz w:val="44"/>
          <w:szCs w:val="44"/>
        </w:rPr>
      </w:pPr>
    </w:p>
    <w:p>
      <w:pPr>
        <w:widowControl w:val="0"/>
        <w:wordWrap/>
        <w:overflowPunct w:val="0"/>
        <w:adjustRightInd/>
        <w:snapToGrid/>
        <w:spacing w:line="700" w:lineRule="exact"/>
        <w:ind w:left="0" w:leftChars="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龙农〔202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38</w:t>
      </w:r>
      <w:r>
        <w:rPr>
          <w:rFonts w:hint="eastAsia" w:ascii="仿宋_GB2312" w:hAnsi="仿宋_GB2312" w:eastAsia="仿宋_GB2312" w:cs="仿宋_GB2312"/>
          <w:color w:val="auto"/>
          <w:sz w:val="32"/>
          <w:szCs w:val="32"/>
        </w:rPr>
        <w:t>号</w:t>
      </w:r>
    </w:p>
    <w:p>
      <w:pPr>
        <w:widowControl w:val="0"/>
        <w:wordWrap/>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rPr>
      </w:pPr>
    </w:p>
    <w:p>
      <w:pPr>
        <w:widowControl w:val="0"/>
        <w:wordWrap/>
        <w:adjustRightInd/>
        <w:snapToGrid/>
        <w:spacing w:line="700" w:lineRule="exact"/>
        <w:jc w:val="center"/>
        <w:textAlignment w:val="auto"/>
        <w:rPr>
          <w:rFonts w:hint="eastAsia" w:ascii="方正小标宋简体" w:hAnsi="仿宋_GB2312" w:eastAsia="方正小标宋简体" w:cs="方正小标宋简体"/>
          <w:color w:val="auto"/>
          <w:w w:val="100"/>
          <w:sz w:val="44"/>
          <w:szCs w:val="44"/>
          <w:lang w:val="en-US" w:eastAsia="zh-CN"/>
        </w:rPr>
      </w:pPr>
      <w:r>
        <w:rPr>
          <w:rFonts w:hint="eastAsia" w:ascii="方正小标宋简体" w:hAnsi="仿宋_GB2312" w:eastAsia="方正小标宋简体" w:cs="方正小标宋简体"/>
          <w:color w:val="auto"/>
          <w:w w:val="100"/>
          <w:sz w:val="44"/>
          <w:szCs w:val="44"/>
          <w:lang w:val="en-US" w:eastAsia="zh-CN"/>
        </w:rPr>
        <w:t>龙岩市农业农村局关于印发</w:t>
      </w:r>
    </w:p>
    <w:p>
      <w:pPr>
        <w:widowControl w:val="0"/>
        <w:wordWrap/>
        <w:adjustRightInd/>
        <w:snapToGrid/>
        <w:spacing w:line="700" w:lineRule="exact"/>
        <w:jc w:val="center"/>
        <w:textAlignment w:val="auto"/>
        <w:rPr>
          <w:rFonts w:hint="eastAsia" w:ascii="方正小标宋简体" w:hAnsi="仿宋_GB2312" w:eastAsia="方正小标宋简体" w:cs="方正小标宋简体"/>
          <w:color w:val="auto"/>
          <w:w w:val="100"/>
          <w:sz w:val="44"/>
          <w:szCs w:val="44"/>
        </w:rPr>
      </w:pPr>
      <w:r>
        <w:rPr>
          <w:rFonts w:hint="eastAsia" w:ascii="方正小标宋简体" w:hAnsi="仿宋_GB2312" w:eastAsia="方正小标宋简体" w:cs="方正小标宋简体"/>
          <w:color w:val="auto"/>
          <w:w w:val="100"/>
          <w:sz w:val="44"/>
          <w:szCs w:val="44"/>
          <w:lang w:val="en-US" w:eastAsia="zh-CN"/>
        </w:rPr>
        <w:t>《2025年</w:t>
      </w:r>
      <w:r>
        <w:rPr>
          <w:rFonts w:hint="eastAsia" w:ascii="方正小标宋简体" w:hAnsi="仿宋_GB2312" w:eastAsia="方正小标宋简体" w:cs="方正小标宋简体"/>
          <w:color w:val="auto"/>
          <w:w w:val="100"/>
          <w:sz w:val="44"/>
          <w:szCs w:val="44"/>
        </w:rPr>
        <w:t>龙岩市稻田综合种养奖励项目</w:t>
      </w:r>
    </w:p>
    <w:p>
      <w:pPr>
        <w:widowControl w:val="0"/>
        <w:wordWrap/>
        <w:adjustRightInd/>
        <w:snapToGrid/>
        <w:spacing w:line="700" w:lineRule="exact"/>
        <w:jc w:val="center"/>
        <w:textAlignment w:val="auto"/>
        <w:rPr>
          <w:rFonts w:ascii="方正小标宋简体" w:hAnsi="仿宋_GB2312" w:eastAsia="方正小标宋简体" w:cs="方正小标宋简体"/>
          <w:color w:val="auto"/>
          <w:w w:val="100"/>
          <w:sz w:val="44"/>
          <w:szCs w:val="44"/>
        </w:rPr>
      </w:pPr>
      <w:r>
        <w:rPr>
          <w:rFonts w:hint="eastAsia" w:ascii="方正小标宋简体" w:hAnsi="仿宋_GB2312" w:eastAsia="方正小标宋简体" w:cs="方正小标宋简体"/>
          <w:color w:val="auto"/>
          <w:w w:val="100"/>
          <w:sz w:val="44"/>
          <w:szCs w:val="44"/>
          <w:lang w:eastAsia="zh-CN"/>
        </w:rPr>
        <w:t>申报及</w:t>
      </w:r>
      <w:r>
        <w:rPr>
          <w:rFonts w:hint="eastAsia" w:ascii="方正小标宋简体" w:hAnsi="仿宋_GB2312" w:eastAsia="方正小标宋简体" w:cs="方正小标宋简体"/>
          <w:color w:val="auto"/>
          <w:w w:val="100"/>
          <w:sz w:val="44"/>
          <w:szCs w:val="44"/>
        </w:rPr>
        <w:t>考核验收办法</w:t>
      </w:r>
      <w:r>
        <w:rPr>
          <w:rFonts w:hint="eastAsia" w:ascii="方正小标宋简体" w:hAnsi="仿宋_GB2312" w:eastAsia="方正小标宋简体" w:cs="方正小标宋简体"/>
          <w:color w:val="auto"/>
          <w:w w:val="100"/>
          <w:sz w:val="44"/>
          <w:szCs w:val="44"/>
          <w:lang w:val="en-US" w:eastAsia="zh-CN"/>
        </w:rPr>
        <w:t>》的通知</w:t>
      </w:r>
    </w:p>
    <w:p>
      <w:pPr>
        <w:widowControl w:val="0"/>
        <w:wordWrap/>
        <w:adjustRightInd/>
        <w:snapToGrid/>
        <w:spacing w:beforeAutospacing="0" w:line="600" w:lineRule="exact"/>
        <w:textAlignment w:val="auto"/>
        <w:rPr>
          <w:rFonts w:hint="eastAsia" w:ascii="仿宋_GB2312" w:hAnsi="仿宋_GB2312" w:eastAsia="仿宋_GB2312" w:cs="仿宋_GB2312"/>
          <w:color w:val="auto"/>
          <w:sz w:val="32"/>
          <w:szCs w:val="32"/>
          <w:lang w:eastAsia="zh-CN"/>
        </w:rPr>
      </w:pPr>
    </w:p>
    <w:p>
      <w:pPr>
        <w:widowControl w:val="0"/>
        <w:wordWrap/>
        <w:adjustRightInd/>
        <w:snapToGrid/>
        <w:spacing w:beforeAutospacing="0" w:line="60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各县（市、区）农业农村局：</w:t>
      </w:r>
    </w:p>
    <w:p>
      <w:pPr>
        <w:widowControl w:val="0"/>
        <w:wordWrap/>
        <w:adjustRightInd/>
        <w:snapToGrid/>
        <w:spacing w:beforeAutospacing="0" w:line="60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为更好推进全市稻田综合种养发展，科学评价全市稻田综合种养示范基地建设成效，现将</w:t>
      </w:r>
      <w:r>
        <w:rPr>
          <w:rFonts w:hint="eastAsia" w:ascii="仿宋_GB2312" w:hAnsi="仿宋_GB2312" w:eastAsia="仿宋_GB2312" w:cs="仿宋_GB2312"/>
          <w:color w:val="auto"/>
          <w:sz w:val="32"/>
          <w:szCs w:val="32"/>
          <w:lang w:val="en-US" w:eastAsia="zh-CN"/>
        </w:rPr>
        <w:t>《2025年</w:t>
      </w:r>
      <w:r>
        <w:rPr>
          <w:rFonts w:hint="eastAsia" w:ascii="仿宋_GB2312" w:hAnsi="仿宋_GB2312" w:eastAsia="仿宋_GB2312" w:cs="仿宋_GB2312"/>
          <w:color w:val="auto"/>
          <w:sz w:val="32"/>
          <w:szCs w:val="32"/>
          <w:lang w:eastAsia="zh-CN"/>
        </w:rPr>
        <w:t>龙岩市稻田综合种养奖励项目申报及考核验收办法</w:t>
      </w:r>
      <w:r>
        <w:rPr>
          <w:rFonts w:hint="eastAsia" w:ascii="仿宋_GB2312" w:hAnsi="仿宋_GB2312" w:eastAsia="仿宋_GB2312" w:cs="仿宋_GB2312"/>
          <w:color w:val="auto"/>
          <w:sz w:val="32"/>
          <w:szCs w:val="32"/>
          <w:lang w:val="en-US" w:eastAsia="zh-CN"/>
        </w:rPr>
        <w:t>》印发给你们，请遵照执行。</w:t>
      </w:r>
    </w:p>
    <w:p>
      <w:pPr>
        <w:pStyle w:val="2"/>
        <w:keepNext w:val="0"/>
        <w:keepLines w:val="0"/>
        <w:pageBreakBefore w:val="0"/>
        <w:widowControl w:val="0"/>
        <w:kinsoku/>
        <w:wordWrap/>
        <w:overflowPunct/>
        <w:topLinePunct w:val="0"/>
        <w:autoSpaceDE/>
        <w:autoSpaceDN/>
        <w:bidi w:val="0"/>
        <w:adjustRightInd/>
        <w:snapToGrid/>
        <w:spacing w:before="0" w:beforeAutospacing="0" w:after="0" w:line="1000" w:lineRule="exact"/>
        <w:textAlignment w:val="auto"/>
        <w:rPr>
          <w:rFonts w:hint="eastAsia"/>
          <w:color w:val="auto"/>
          <w:lang w:val="en-US" w:eastAsia="zh-CN"/>
        </w:rPr>
      </w:pPr>
    </w:p>
    <w:p>
      <w:pPr>
        <w:pStyle w:val="2"/>
        <w:widowControl w:val="0"/>
        <w:wordWrap/>
        <w:adjustRightInd/>
        <w:snapToGrid/>
        <w:spacing w:before="0" w:beforeAutospacing="0" w:after="0" w:line="600" w:lineRule="exact"/>
        <w:ind w:right="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kern w:val="2"/>
          <w:sz w:val="32"/>
          <w:szCs w:val="32"/>
          <w:lang w:val="en-US" w:eastAsia="zh-CN" w:bidi="ar-SA"/>
        </w:rPr>
        <w:t xml:space="preserve">     龙岩市农业农村局</w:t>
      </w:r>
    </w:p>
    <w:p>
      <w:pPr>
        <w:widowControl w:val="0"/>
        <w:wordWrap/>
        <w:adjustRightInd/>
        <w:snapToGrid/>
        <w:spacing w:beforeAutospacing="0" w:line="600" w:lineRule="exact"/>
        <w:ind w:right="0"/>
        <w:jc w:val="both"/>
        <w:textAlignment w:val="auto"/>
        <w:outlineLvl w:val="9"/>
        <w:rPr>
          <w:rFonts w:hint="eastAsia"/>
          <w:color w:val="auto"/>
          <w:lang w:eastAsia="zh-CN"/>
        </w:rPr>
      </w:pPr>
      <w:r>
        <w:rPr>
          <w:rFonts w:hint="eastAsia" w:ascii="仿宋_GB2312" w:hAnsi="仿宋_GB2312" w:eastAsia="仿宋_GB2312" w:cs="仿宋_GB2312"/>
          <w:color w:val="auto"/>
          <w:kern w:val="2"/>
          <w:sz w:val="32"/>
          <w:szCs w:val="32"/>
          <w:lang w:val="en-US" w:eastAsia="zh-CN" w:bidi="ar-SA"/>
        </w:rPr>
        <w:t xml:space="preserve">                               2025年8月27日</w:t>
      </w:r>
    </w:p>
    <w:p>
      <w:pPr>
        <w:pStyle w:val="4"/>
        <w:rPr>
          <w:rFonts w:hint="eastAsia" w:ascii="方正小标宋简体" w:hAnsi="仿宋_GB2312" w:eastAsia="方正小标宋简体" w:cs="方正小标宋简体"/>
          <w:color w:val="auto"/>
          <w:w w:val="100"/>
          <w:kern w:val="2"/>
          <w:sz w:val="44"/>
          <w:szCs w:val="44"/>
          <w:lang w:val="en-US" w:eastAsia="zh-CN" w:bidi="ar-SA"/>
        </w:rPr>
      </w:pPr>
      <w:r>
        <w:rPr>
          <w:rFonts w:hint="eastAsia" w:ascii="方正小标宋简体" w:hAnsi="仿宋_GB2312" w:eastAsia="方正小标宋简体" w:cs="方正小标宋简体"/>
          <w:color w:val="auto"/>
          <w:w w:val="100"/>
          <w:kern w:val="2"/>
          <w:sz w:val="44"/>
          <w:szCs w:val="44"/>
          <w:lang w:val="en-US" w:eastAsia="zh-CN" w:bidi="ar-SA"/>
        </w:rPr>
        <w:t>202</w:t>
      </w:r>
      <w:r>
        <w:rPr>
          <w:rFonts w:hint="eastAsia" w:ascii="方正小标宋简体" w:hAnsi="仿宋_GB2312" w:cs="方正小标宋简体"/>
          <w:color w:val="auto"/>
          <w:w w:val="100"/>
          <w:kern w:val="2"/>
          <w:sz w:val="44"/>
          <w:szCs w:val="44"/>
          <w:lang w:val="en-US" w:eastAsia="zh-CN" w:bidi="ar-SA"/>
        </w:rPr>
        <w:t>5</w:t>
      </w:r>
      <w:r>
        <w:rPr>
          <w:rFonts w:hint="eastAsia" w:ascii="方正小标宋简体" w:hAnsi="仿宋_GB2312" w:eastAsia="方正小标宋简体" w:cs="方正小标宋简体"/>
          <w:color w:val="auto"/>
          <w:w w:val="100"/>
          <w:kern w:val="2"/>
          <w:sz w:val="44"/>
          <w:szCs w:val="44"/>
          <w:lang w:val="en-US" w:eastAsia="zh-CN" w:bidi="ar-SA"/>
        </w:rPr>
        <w:t>年龙岩市稻田综合种养奖励项目</w:t>
      </w:r>
    </w:p>
    <w:p>
      <w:pPr>
        <w:pStyle w:val="4"/>
        <w:rPr>
          <w:rFonts w:hint="eastAsia" w:ascii="方正小标宋简体" w:hAnsi="仿宋_GB2312" w:eastAsia="方正小标宋简体" w:cs="方正小标宋简体"/>
          <w:color w:val="auto"/>
          <w:w w:val="100"/>
          <w:kern w:val="2"/>
          <w:sz w:val="44"/>
          <w:szCs w:val="44"/>
          <w:lang w:val="en-US" w:eastAsia="zh-CN" w:bidi="ar-SA"/>
        </w:rPr>
      </w:pPr>
      <w:r>
        <w:rPr>
          <w:rFonts w:hint="eastAsia" w:ascii="方正小标宋简体" w:hAnsi="仿宋_GB2312" w:eastAsia="方正小标宋简体" w:cs="方正小标宋简体"/>
          <w:color w:val="auto"/>
          <w:w w:val="100"/>
          <w:kern w:val="2"/>
          <w:sz w:val="44"/>
          <w:szCs w:val="44"/>
          <w:lang w:val="en-US" w:eastAsia="zh-CN" w:bidi="ar-SA"/>
        </w:rPr>
        <w:t>申报及考核验收办法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今年是我市开展稻田综合种养示范点奖励项目的第四年，为更好地规范全市稻田综合种养的发展，</w:t>
      </w:r>
      <w:r>
        <w:rPr>
          <w:rFonts w:hint="eastAsia" w:ascii="仿宋_GB2312" w:hAnsi="仿宋_GB2312" w:eastAsia="仿宋_GB2312" w:cs="仿宋_GB2312"/>
          <w:color w:val="auto"/>
          <w:sz w:val="32"/>
          <w:szCs w:val="32"/>
        </w:rPr>
        <w:t>科学评价全市稻田综合种养示范基地建设成效，</w:t>
      </w:r>
      <w:r>
        <w:rPr>
          <w:rFonts w:hint="eastAsia" w:ascii="仿宋_GB2312" w:hAnsi="仿宋_GB2312" w:eastAsia="仿宋_GB2312" w:cs="仿宋_GB2312"/>
          <w:color w:val="auto"/>
          <w:sz w:val="32"/>
          <w:szCs w:val="32"/>
          <w:lang w:eastAsia="zh-CN"/>
        </w:rPr>
        <w:t>鼓励养殖单位结合自身实际情况，积极开展养殖方式的摸索和创新，</w:t>
      </w:r>
      <w:r>
        <w:rPr>
          <w:rFonts w:hint="eastAsia" w:ascii="仿宋_GB2312" w:hAnsi="仿宋_GB2312" w:eastAsia="仿宋_GB2312" w:cs="仿宋_GB2312"/>
          <w:color w:val="auto"/>
          <w:sz w:val="32"/>
          <w:szCs w:val="32"/>
        </w:rPr>
        <w:t>切实提高稻田综合效益，特制订本办法。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一、申报对象及基本条件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1.申报对象。</w:t>
      </w:r>
      <w:r>
        <w:rPr>
          <w:rFonts w:hint="eastAsia" w:ascii="仿宋_GB2312" w:hAnsi="仿宋_GB2312" w:eastAsia="仿宋_GB2312" w:cs="仿宋_GB2312"/>
          <w:color w:val="auto"/>
          <w:sz w:val="32"/>
          <w:szCs w:val="32"/>
        </w:rPr>
        <w:t>龙岩市</w:t>
      </w:r>
      <w:r>
        <w:rPr>
          <w:rFonts w:hint="eastAsia" w:ascii="仿宋_GB2312" w:hAnsi="仿宋_GB2312" w:eastAsia="仿宋_GB2312" w:cs="仿宋_GB2312"/>
          <w:color w:val="auto"/>
          <w:sz w:val="32"/>
          <w:szCs w:val="32"/>
          <w:lang w:eastAsia="zh-CN"/>
        </w:rPr>
        <w:t>辖区内</w:t>
      </w:r>
      <w:r>
        <w:rPr>
          <w:rFonts w:hint="eastAsia" w:ascii="仿宋_GB2312" w:hAnsi="仿宋_GB2312" w:eastAsia="仿宋_GB2312" w:cs="仿宋_GB2312"/>
          <w:color w:val="auto"/>
          <w:sz w:val="32"/>
          <w:szCs w:val="32"/>
        </w:rPr>
        <w:t>稻田综合种养</w:t>
      </w:r>
      <w:r>
        <w:rPr>
          <w:rFonts w:hint="eastAsia" w:ascii="仿宋_GB2312" w:hAnsi="仿宋_GB2312" w:eastAsia="仿宋_GB2312" w:cs="仿宋_GB2312"/>
          <w:color w:val="auto"/>
          <w:sz w:val="32"/>
          <w:szCs w:val="32"/>
          <w:lang w:eastAsia="zh-CN"/>
        </w:rPr>
        <w:t>生产主体</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2.申报条件。示范基地</w:t>
      </w:r>
      <w:r>
        <w:rPr>
          <w:rFonts w:hint="eastAsia" w:ascii="仿宋_GB2312" w:hAnsi="仿宋_GB2312" w:eastAsia="仿宋_GB2312" w:cs="仿宋_GB2312"/>
          <w:color w:val="auto"/>
          <w:sz w:val="32"/>
          <w:szCs w:val="32"/>
        </w:rPr>
        <w:t>实施</w:t>
      </w:r>
      <w:r>
        <w:rPr>
          <w:rFonts w:hint="eastAsia" w:ascii="仿宋_GB2312" w:hAnsi="仿宋_GB2312" w:eastAsia="仿宋_GB2312" w:cs="仿宋_GB2312"/>
          <w:color w:val="auto"/>
          <w:sz w:val="32"/>
          <w:szCs w:val="32"/>
          <w:lang w:eastAsia="zh-CN"/>
        </w:rPr>
        <w:t>了</w:t>
      </w:r>
      <w:r>
        <w:rPr>
          <w:rFonts w:hint="eastAsia" w:ascii="仿宋_GB2312" w:hAnsi="仿宋_GB2312" w:eastAsia="仿宋_GB2312" w:cs="仿宋_GB2312"/>
          <w:color w:val="auto"/>
          <w:kern w:val="2"/>
          <w:sz w:val="32"/>
          <w:szCs w:val="32"/>
          <w:lang w:val="en-US" w:eastAsia="zh-CN" w:bidi="ar-SA"/>
        </w:rPr>
        <w:t>稻田生态绿色综合种养</w:t>
      </w:r>
      <w:r>
        <w:rPr>
          <w:rFonts w:hint="eastAsia" w:ascii="仿宋_GB2312" w:hAnsi="仿宋_GB2312" w:eastAsia="仿宋_GB2312" w:cs="仿宋_GB2312"/>
          <w:color w:val="auto"/>
          <w:sz w:val="32"/>
          <w:szCs w:val="32"/>
          <w:lang w:eastAsia="zh-CN"/>
        </w:rPr>
        <w:t>，种养区面积达到</w:t>
      </w:r>
      <w:r>
        <w:rPr>
          <w:rFonts w:hint="eastAsia" w:ascii="仿宋_GB2312" w:hAnsi="仿宋_GB2312" w:eastAsia="仿宋_GB2312" w:cs="仿宋_GB2312"/>
          <w:color w:val="auto"/>
          <w:sz w:val="32"/>
          <w:szCs w:val="32"/>
          <w:lang w:val="en-US" w:eastAsia="zh-CN"/>
        </w:rPr>
        <w:t>20亩以上（稻鸭</w:t>
      </w:r>
      <w:r>
        <w:rPr>
          <w:rFonts w:hint="eastAsia" w:ascii="仿宋_GB2312" w:hAnsi="仿宋_GB2312" w:eastAsia="仿宋_GB2312" w:cs="仿宋_GB2312"/>
          <w:color w:val="auto"/>
          <w:sz w:val="32"/>
          <w:szCs w:val="32"/>
          <w:highlight w:val="none"/>
          <w:lang w:val="en-US" w:eastAsia="zh-CN"/>
        </w:rPr>
        <w:t>模式100亩以上），</w:t>
      </w:r>
      <w:r>
        <w:rPr>
          <w:rFonts w:hint="eastAsia" w:ascii="仿宋_GB2312" w:hAnsi="仿宋_GB2312" w:eastAsia="仿宋_GB2312" w:cs="仿宋_GB2312"/>
          <w:color w:val="auto"/>
          <w:sz w:val="32"/>
          <w:szCs w:val="32"/>
        </w:rPr>
        <w:t>并</w:t>
      </w:r>
      <w:r>
        <w:rPr>
          <w:rFonts w:hint="eastAsia" w:ascii="仿宋_GB2312" w:hAnsi="仿宋_GB2312" w:eastAsia="仿宋_GB2312" w:cs="仿宋_GB2312"/>
          <w:color w:val="auto"/>
          <w:sz w:val="32"/>
          <w:szCs w:val="32"/>
          <w:lang w:eastAsia="zh-CN"/>
        </w:rPr>
        <w:t>且未享受过本项目奖励</w:t>
      </w:r>
      <w:r>
        <w:rPr>
          <w:rFonts w:hint="eastAsia" w:ascii="仿宋_GB2312" w:hAnsi="仿宋_GB2312" w:eastAsia="仿宋_GB2312" w:cs="仿宋_GB2312"/>
          <w:color w:val="auto"/>
          <w:sz w:val="32"/>
          <w:szCs w:val="32"/>
          <w:highlight w:val="none"/>
          <w:lang w:eastAsia="zh-CN"/>
        </w:rPr>
        <w:t>。往年有获得本项目奖励</w:t>
      </w:r>
      <w:bookmarkStart w:id="0" w:name="_GoBack"/>
      <w:bookmarkEnd w:id="0"/>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lang w:eastAsia="zh-CN"/>
        </w:rPr>
        <w:t>生产主体或示范点，在原有的种养规模基础下，今年新增种养区面积</w:t>
      </w:r>
      <w:r>
        <w:rPr>
          <w:rFonts w:hint="eastAsia" w:ascii="仿宋_GB2312" w:hAnsi="仿宋_GB2312" w:eastAsia="仿宋_GB2312" w:cs="仿宋_GB2312"/>
          <w:color w:val="auto"/>
          <w:sz w:val="32"/>
          <w:szCs w:val="32"/>
          <w:highlight w:val="none"/>
          <w:lang w:val="en-US" w:eastAsia="zh-CN"/>
        </w:rPr>
        <w:t>20亩以上（稻鸭模式100亩以上）或指导带动2家以上综合种养主体开展稻田综合种养，可再次申报。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3.申报方式。</w:t>
      </w:r>
      <w:r>
        <w:rPr>
          <w:rFonts w:hint="eastAsia" w:ascii="仿宋_GB2312" w:hAnsi="仿宋_GB2312" w:eastAsia="仿宋_GB2312" w:cs="仿宋_GB2312"/>
          <w:color w:val="auto"/>
          <w:sz w:val="32"/>
          <w:szCs w:val="32"/>
          <w:highlight w:val="none"/>
          <w:lang w:eastAsia="zh-CN"/>
        </w:rPr>
        <w:t>项目实施</w:t>
      </w:r>
      <w:r>
        <w:rPr>
          <w:rFonts w:hint="eastAsia" w:ascii="仿宋_GB2312" w:hAnsi="仿宋_GB2312" w:eastAsia="仿宋_GB2312" w:cs="仿宋_GB2312"/>
          <w:color w:val="auto"/>
          <w:sz w:val="32"/>
          <w:szCs w:val="32"/>
          <w:highlight w:val="none"/>
        </w:rPr>
        <w:t>主体向所在地县（市</w:t>
      </w:r>
      <w:r>
        <w:rPr>
          <w:rFonts w:hint="eastAsia" w:ascii="仿宋_GB2312" w:hAnsi="仿宋_GB2312" w:eastAsia="仿宋_GB2312" w:cs="仿宋_GB2312"/>
          <w:color w:val="auto"/>
          <w:sz w:val="32"/>
          <w:szCs w:val="32"/>
        </w:rPr>
        <w:t>、区）农业农村局申报，</w:t>
      </w:r>
      <w:r>
        <w:rPr>
          <w:rFonts w:hint="eastAsia" w:ascii="仿宋_GB2312" w:hAnsi="仿宋_GB2312" w:eastAsia="仿宋_GB2312" w:cs="仿宋_GB2312"/>
          <w:color w:val="auto"/>
          <w:sz w:val="32"/>
          <w:szCs w:val="32"/>
          <w:lang w:eastAsia="zh-CN"/>
        </w:rPr>
        <w:t>纸质</w:t>
      </w:r>
      <w:r>
        <w:rPr>
          <w:rFonts w:hint="eastAsia" w:ascii="仿宋_GB2312" w:hAnsi="仿宋_GB2312" w:eastAsia="仿宋_GB2312" w:cs="仿宋_GB2312"/>
          <w:color w:val="auto"/>
          <w:sz w:val="32"/>
          <w:szCs w:val="32"/>
        </w:rPr>
        <w:t>提交《龙岩市稻田综合种养奖励项目考核验收申请表》（附件1）</w:t>
      </w: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lang w:val="en-US" w:eastAsia="zh-CN"/>
        </w:rPr>
        <w:t>式三份</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4.申报截止时间。2025年9月15日。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5.项目初验截止时间。2025年10月31日。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二、组织验收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（一）验收依据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《龙岩市农业农村局 龙岩市财政局 龙岩市自然资源局 龙岩市发展和改革委员会关于印发试点推进稻田综合种养发展指导意见的通知》（龙农〔2021〕73号）</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以下简</w:t>
      </w:r>
      <w:r>
        <w:rPr>
          <w:rFonts w:hint="eastAsia" w:ascii="仿宋_GB2312" w:hAnsi="仿宋_GB2312" w:eastAsia="仿宋_GB2312" w:cs="仿宋_GB2312"/>
          <w:color w:val="auto"/>
          <w:sz w:val="32"/>
          <w:szCs w:val="32"/>
        </w:rPr>
        <w:t>称《指导意见》。</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（二）验收范围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业主申报后且经所在地县（市、区）农业农村局摸底登记立项</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eastAsia="zh-CN"/>
        </w:rPr>
        <w:t>稻田综合种养示范基地</w:t>
      </w:r>
      <w:r>
        <w:rPr>
          <w:rFonts w:hint="eastAsia" w:ascii="仿宋_GB2312" w:hAnsi="仿宋_GB2312" w:eastAsia="仿宋_GB2312" w:cs="仿宋_GB2312"/>
          <w:color w:val="auto"/>
          <w:sz w:val="32"/>
          <w:szCs w:val="32"/>
        </w:rPr>
        <w:t>规模种养奖励项目。</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（三）验收内容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示范基地基础设施、</w:t>
      </w:r>
      <w:r>
        <w:rPr>
          <w:rFonts w:hint="eastAsia" w:ascii="仿宋_GB2312" w:hAnsi="仿宋_GB2312" w:eastAsia="仿宋_GB2312" w:cs="仿宋_GB2312"/>
          <w:color w:val="auto"/>
          <w:sz w:val="32"/>
          <w:szCs w:val="32"/>
        </w:rPr>
        <w:t>生产规模、技术内容、产量、质量、产值</w:t>
      </w:r>
      <w:r>
        <w:rPr>
          <w:rFonts w:hint="eastAsia" w:ascii="仿宋_GB2312" w:hAnsi="仿宋_GB2312" w:eastAsia="仿宋_GB2312" w:cs="仿宋_GB2312"/>
          <w:color w:val="auto"/>
          <w:sz w:val="32"/>
          <w:szCs w:val="32"/>
          <w:lang w:eastAsia="zh-CN"/>
        </w:rPr>
        <w:t>、生态环保</w:t>
      </w:r>
      <w:r>
        <w:rPr>
          <w:rFonts w:hint="eastAsia" w:ascii="仿宋_GB2312" w:hAnsi="仿宋_GB2312" w:eastAsia="仿宋_GB2312" w:cs="仿宋_GB2312"/>
          <w:color w:val="auto"/>
          <w:sz w:val="32"/>
          <w:szCs w:val="32"/>
        </w:rPr>
        <w:t>，以及种养产品品牌创建和销售等情况。</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（四）验收标准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龙岩市稻田综合种养奖励项目考核验收评分表</w:t>
      </w:r>
      <w:r>
        <w:rPr>
          <w:rFonts w:hint="eastAsia" w:ascii="仿宋_GB2312" w:hAnsi="仿宋_GB2312" w:eastAsia="仿宋_GB2312" w:cs="仿宋_GB2312"/>
          <w:color w:val="auto"/>
          <w:sz w:val="32"/>
          <w:szCs w:val="32"/>
          <w:lang w:eastAsia="zh-CN"/>
        </w:rPr>
        <w:t>》的考核标准（</w:t>
      </w:r>
      <w:r>
        <w:rPr>
          <w:rFonts w:hint="eastAsia" w:ascii="仿宋_GB2312" w:hAnsi="仿宋_GB2312" w:eastAsia="仿宋_GB2312" w:cs="仿宋_GB2312"/>
          <w:color w:val="auto"/>
          <w:sz w:val="32"/>
          <w:szCs w:val="32"/>
        </w:rPr>
        <w:t>详见</w:t>
      </w: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eastAsia="zh-CN"/>
        </w:rPr>
        <w:t>（五）验收方法和程序</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lang w:eastAsia="zh-CN"/>
        </w:rPr>
        <w:t>初验</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lang w:eastAsia="zh-CN"/>
        </w:rPr>
        <w:t>）审核立项。</w:t>
      </w:r>
      <w:r>
        <w:rPr>
          <w:rFonts w:hint="eastAsia" w:ascii="仿宋_GB2312" w:hAnsi="仿宋_GB2312" w:eastAsia="仿宋_GB2312" w:cs="仿宋_GB2312"/>
          <w:color w:val="auto"/>
          <w:sz w:val="32"/>
          <w:szCs w:val="32"/>
          <w:lang w:eastAsia="zh-CN"/>
        </w:rPr>
        <w:t>各县（市、区）农业农村局对当地的稻田综合种养情况进行摸底，积极组织摸底的生产主体申报项目，对申报主体提交的考核验收申请表填报内容进行审核，对符合《指导意见》的项目进行登记立项管理、技术指导。</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lang w:eastAsia="zh-CN"/>
        </w:rPr>
        <w:t>）实地验收。</w:t>
      </w:r>
      <w:r>
        <w:rPr>
          <w:rFonts w:hint="eastAsia" w:ascii="仿宋_GB2312" w:hAnsi="仿宋_GB2312" w:eastAsia="仿宋_GB2312" w:cs="仿宋_GB2312"/>
          <w:color w:val="auto"/>
          <w:sz w:val="32"/>
          <w:szCs w:val="32"/>
        </w:rPr>
        <w:t>项目实施后</w:t>
      </w:r>
      <w:r>
        <w:rPr>
          <w:rFonts w:hint="eastAsia" w:ascii="仿宋_GB2312" w:hAnsi="仿宋_GB2312" w:eastAsia="仿宋_GB2312" w:cs="仿宋_GB2312"/>
          <w:color w:val="auto"/>
          <w:sz w:val="32"/>
          <w:szCs w:val="32"/>
          <w:lang w:eastAsia="zh-CN"/>
        </w:rPr>
        <w:t>，在</w:t>
      </w:r>
      <w:r>
        <w:rPr>
          <w:rFonts w:hint="eastAsia" w:ascii="仿宋_GB2312" w:hAnsi="仿宋_GB2312" w:eastAsia="仿宋_GB2312" w:cs="仿宋_GB2312"/>
          <w:color w:val="auto"/>
          <w:sz w:val="32"/>
          <w:szCs w:val="32"/>
        </w:rPr>
        <w:t>水稻成熟时，</w:t>
      </w:r>
      <w:r>
        <w:rPr>
          <w:rFonts w:hint="eastAsia" w:ascii="仿宋_GB2312" w:hAnsi="仿宋_GB2312" w:eastAsia="仿宋_GB2312" w:cs="仿宋_GB2312"/>
          <w:color w:val="auto"/>
          <w:sz w:val="32"/>
          <w:szCs w:val="32"/>
          <w:lang w:eastAsia="zh-CN"/>
        </w:rPr>
        <w:t>各县（市、区）农业农村局应牵头</w:t>
      </w:r>
      <w:r>
        <w:rPr>
          <w:rFonts w:hint="eastAsia" w:ascii="仿宋_GB2312" w:hAnsi="仿宋_GB2312" w:eastAsia="仿宋_GB2312" w:cs="仿宋_GB2312"/>
          <w:color w:val="auto"/>
          <w:sz w:val="32"/>
          <w:szCs w:val="32"/>
        </w:rPr>
        <w:t>组建验收组</w:t>
      </w:r>
      <w:r>
        <w:rPr>
          <w:rFonts w:hint="eastAsia" w:ascii="仿宋_GB2312" w:hAnsi="仿宋_GB2312" w:eastAsia="仿宋_GB2312" w:cs="仿宋_GB2312"/>
          <w:color w:val="auto"/>
          <w:sz w:val="32"/>
          <w:szCs w:val="32"/>
          <w:lang w:eastAsia="zh-CN"/>
        </w:rPr>
        <w:t>，联合财政、自然资源和发改等部门对其</w:t>
      </w:r>
      <w:r>
        <w:rPr>
          <w:rFonts w:hint="eastAsia" w:ascii="仿宋_GB2312" w:hAnsi="仿宋_GB2312" w:eastAsia="仿宋_GB2312" w:cs="仿宋_GB2312"/>
          <w:color w:val="auto"/>
          <w:sz w:val="32"/>
          <w:szCs w:val="32"/>
        </w:rPr>
        <w:t>进行验收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验收组成员应包含但不限于农技、水技、畜牧、财务等方面的专业人员。</w:t>
      </w:r>
      <w:r>
        <w:rPr>
          <w:rFonts w:hint="eastAsia" w:ascii="仿宋_GB2312" w:hAnsi="仿宋_GB2312" w:eastAsia="仿宋_GB2312" w:cs="仿宋_GB2312"/>
          <w:color w:val="auto"/>
          <w:sz w:val="32"/>
          <w:szCs w:val="32"/>
          <w:lang w:eastAsia="zh-CN"/>
        </w:rPr>
        <w:t>验收时，生产主体需向验收组提供</w:t>
      </w:r>
      <w:r>
        <w:rPr>
          <w:rFonts w:hint="eastAsia" w:ascii="仿宋_GB2312" w:hAnsi="仿宋_GB2312" w:eastAsia="仿宋_GB2312" w:cs="仿宋_GB2312"/>
          <w:color w:val="auto"/>
          <w:sz w:val="32"/>
          <w:szCs w:val="32"/>
        </w:rPr>
        <w:t>项目实施情况报告</w:t>
      </w:r>
      <w:r>
        <w:rPr>
          <w:rFonts w:hint="eastAsia" w:ascii="仿宋_GB2312" w:hAnsi="仿宋_GB2312" w:eastAsia="仿宋_GB2312" w:cs="仿宋_GB2312"/>
          <w:color w:val="auto"/>
          <w:sz w:val="32"/>
          <w:szCs w:val="32"/>
          <w:lang w:eastAsia="zh-CN"/>
        </w:rPr>
        <w:t>，种养测产报告（测产报告需由乡镇及以上政府机构的农技、水技和财务部门人员共同签字确认），</w:t>
      </w:r>
      <w:r>
        <w:rPr>
          <w:rFonts w:hint="eastAsia" w:ascii="仿宋_GB2312" w:hAnsi="仿宋_GB2312" w:eastAsia="仿宋_GB2312" w:cs="仿宋_GB2312"/>
          <w:color w:val="auto"/>
          <w:sz w:val="32"/>
          <w:szCs w:val="32"/>
        </w:rPr>
        <w:t>农资、苗种、饲料、药</w:t>
      </w:r>
      <w:r>
        <w:rPr>
          <w:rFonts w:hint="eastAsia" w:ascii="仿宋_GB2312" w:hAnsi="仿宋_GB2312" w:eastAsia="仿宋_GB2312" w:cs="仿宋_GB2312"/>
          <w:color w:val="auto"/>
          <w:sz w:val="32"/>
          <w:szCs w:val="32"/>
          <w:lang w:eastAsia="zh-CN"/>
        </w:rPr>
        <w:t>品</w:t>
      </w:r>
      <w:r>
        <w:rPr>
          <w:rFonts w:hint="eastAsia" w:ascii="仿宋_GB2312" w:hAnsi="仿宋_GB2312" w:eastAsia="仿宋_GB2312" w:cs="仿宋_GB2312"/>
          <w:color w:val="auto"/>
          <w:sz w:val="32"/>
          <w:szCs w:val="32"/>
        </w:rPr>
        <w:t>等生产环节投入品购买凭证和使用</w:t>
      </w:r>
      <w:r>
        <w:rPr>
          <w:rFonts w:hint="eastAsia" w:ascii="仿宋_GB2312" w:hAnsi="仿宋_GB2312" w:eastAsia="仿宋_GB2312" w:cs="仿宋_GB2312"/>
          <w:color w:val="auto"/>
          <w:sz w:val="32"/>
          <w:szCs w:val="32"/>
          <w:lang w:eastAsia="zh-CN"/>
        </w:rPr>
        <w:t>记录</w:t>
      </w:r>
      <w:r>
        <w:rPr>
          <w:rFonts w:hint="eastAsia" w:ascii="仿宋_GB2312" w:hAnsi="仿宋_GB2312" w:eastAsia="仿宋_GB2312" w:cs="仿宋_GB2312"/>
          <w:color w:val="auto"/>
          <w:sz w:val="32"/>
          <w:szCs w:val="32"/>
        </w:rPr>
        <w:t>，农事操作记录，种养产品获得“三品一标”有关佐证，种养产品</w:t>
      </w:r>
      <w:r>
        <w:rPr>
          <w:rFonts w:hint="eastAsia" w:ascii="仿宋_GB2312" w:hAnsi="仿宋_GB2312" w:eastAsia="仿宋_GB2312" w:cs="仿宋_GB2312"/>
          <w:color w:val="auto"/>
          <w:sz w:val="32"/>
          <w:szCs w:val="32"/>
          <w:lang w:eastAsia="zh-CN"/>
        </w:rPr>
        <w:t>生产、</w:t>
      </w:r>
      <w:r>
        <w:rPr>
          <w:rFonts w:hint="eastAsia" w:ascii="仿宋_GB2312" w:hAnsi="仿宋_GB2312" w:eastAsia="仿宋_GB2312" w:cs="仿宋_GB2312"/>
          <w:color w:val="auto"/>
          <w:sz w:val="32"/>
          <w:szCs w:val="32"/>
        </w:rPr>
        <w:t>销售</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记录和转账凭证，以及其他有关佐证材料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验收组</w:t>
      </w:r>
      <w:r>
        <w:rPr>
          <w:rFonts w:hint="eastAsia" w:ascii="仿宋_GB2312" w:hAnsi="仿宋_GB2312" w:eastAsia="仿宋_GB2312" w:cs="仿宋_GB2312"/>
          <w:color w:val="auto"/>
          <w:sz w:val="32"/>
          <w:szCs w:val="32"/>
          <w:lang w:eastAsia="zh-CN"/>
        </w:rPr>
        <w:t>应认真审核内业资料，核查项目现场，</w:t>
      </w:r>
      <w:r>
        <w:rPr>
          <w:rFonts w:hint="eastAsia" w:ascii="仿宋_GB2312" w:hAnsi="仿宋_GB2312" w:eastAsia="仿宋_GB2312" w:cs="仿宋_GB2312"/>
          <w:color w:val="auto"/>
          <w:sz w:val="32"/>
          <w:szCs w:val="32"/>
        </w:rPr>
        <w:t>对验收项目进行评分并形成验收意见</w:t>
      </w:r>
      <w:r>
        <w:rPr>
          <w:rFonts w:hint="eastAsia" w:ascii="仿宋_GB2312" w:hAnsi="仿宋_GB2312" w:eastAsia="仿宋_GB2312" w:cs="仿宋_GB2312"/>
          <w:color w:val="auto"/>
          <w:sz w:val="32"/>
          <w:szCs w:val="32"/>
          <w:lang w:eastAsia="zh-CN"/>
        </w:rPr>
        <w:t>，验收意见应包含示范基地种养模式、规模、基础设施建设、技术、产量、效益、管理房及设施建设符合设施农业用地管理相关规定等情况，并重点说明生产环节投入情况</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3</w:t>
      </w:r>
      <w:r>
        <w:rPr>
          <w:rFonts w:hint="eastAsia" w:ascii="仿宋_GB2312" w:hAnsi="仿宋_GB2312" w:eastAsia="仿宋_GB2312" w:cs="仿宋_GB2312"/>
          <w:b/>
          <w:bCs/>
          <w:color w:val="auto"/>
          <w:sz w:val="32"/>
          <w:szCs w:val="32"/>
          <w:lang w:eastAsia="zh-CN"/>
        </w:rPr>
        <w:t>）建档立册。</w:t>
      </w:r>
      <w:r>
        <w:rPr>
          <w:rFonts w:hint="eastAsia" w:ascii="仿宋_GB2312" w:hAnsi="仿宋_GB2312" w:eastAsia="仿宋_GB2312" w:cs="仿宋_GB2312"/>
          <w:color w:val="auto"/>
          <w:sz w:val="32"/>
          <w:szCs w:val="32"/>
        </w:rPr>
        <w:t>验收完成后，各县（市、区）农业农村局应及时</w:t>
      </w:r>
      <w:r>
        <w:rPr>
          <w:rFonts w:hint="eastAsia" w:ascii="仿宋_GB2312" w:hAnsi="仿宋_GB2312" w:eastAsia="仿宋_GB2312" w:cs="仿宋_GB2312"/>
          <w:color w:val="auto"/>
          <w:sz w:val="32"/>
          <w:szCs w:val="32"/>
          <w:lang w:eastAsia="zh-CN"/>
        </w:rPr>
        <w:t>将申请表、验收报告、评分表及有关佐证材料等进行</w:t>
      </w:r>
      <w:r>
        <w:rPr>
          <w:rFonts w:hint="eastAsia" w:ascii="仿宋_GB2312" w:hAnsi="仿宋_GB2312" w:eastAsia="仿宋_GB2312" w:cs="仿宋_GB2312"/>
          <w:color w:val="auto"/>
          <w:sz w:val="32"/>
          <w:szCs w:val="32"/>
        </w:rPr>
        <w:t>建档立册。</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lang w:eastAsia="zh-CN"/>
        </w:rPr>
        <w:t>核验</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lang w:eastAsia="zh-CN"/>
        </w:rPr>
        <w:t>）申请核验。</w:t>
      </w:r>
      <w:r>
        <w:rPr>
          <w:rFonts w:hint="eastAsia" w:ascii="仿宋_GB2312" w:hAnsi="仿宋_GB2312" w:eastAsia="仿宋_GB2312" w:cs="仿宋_GB2312"/>
          <w:color w:val="auto"/>
          <w:sz w:val="32"/>
          <w:szCs w:val="32"/>
          <w:lang w:val="en-US" w:eastAsia="zh-CN"/>
        </w:rPr>
        <w:t>初验结束后，各县（市、区）应及时向市农业农村局提交核验申请报告，并将</w:t>
      </w:r>
      <w:r>
        <w:rPr>
          <w:rFonts w:hint="eastAsia" w:ascii="仿宋_GB2312" w:hAnsi="仿宋_GB2312" w:eastAsia="仿宋_GB2312" w:cs="仿宋_GB2312"/>
          <w:color w:val="auto"/>
          <w:sz w:val="32"/>
          <w:szCs w:val="32"/>
          <w:lang w:eastAsia="zh-CN"/>
        </w:rPr>
        <w:t>考核验收总得分</w:t>
      </w:r>
      <w:r>
        <w:rPr>
          <w:rFonts w:hint="eastAsia" w:ascii="仿宋_GB2312" w:hAnsi="仿宋_GB2312" w:eastAsia="仿宋_GB2312" w:cs="仿宋_GB2312"/>
          <w:color w:val="auto"/>
          <w:sz w:val="32"/>
          <w:szCs w:val="32"/>
          <w:lang w:val="en-US" w:eastAsia="zh-CN"/>
        </w:rPr>
        <w:t>75</w:t>
      </w:r>
      <w:r>
        <w:rPr>
          <w:rFonts w:hint="eastAsia" w:ascii="仿宋_GB2312" w:hAnsi="仿宋_GB2312" w:eastAsia="仿宋_GB2312" w:cs="仿宋_GB2312"/>
          <w:color w:val="auto"/>
          <w:sz w:val="32"/>
          <w:szCs w:val="32"/>
          <w:lang w:eastAsia="zh-CN"/>
        </w:rPr>
        <w:t>分（含）以上的项目</w:t>
      </w:r>
      <w:r>
        <w:rPr>
          <w:rFonts w:hint="eastAsia" w:ascii="仿宋_GB2312" w:hAnsi="仿宋_GB2312" w:eastAsia="仿宋_GB2312" w:cs="仿宋_GB2312"/>
          <w:color w:val="auto"/>
          <w:sz w:val="32"/>
          <w:szCs w:val="32"/>
          <w:lang w:val="en-US" w:eastAsia="zh-CN"/>
        </w:rPr>
        <w:t>验收意见、评分表等相关资料报送至市农业农村局。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（2）现场核验。</w:t>
      </w:r>
      <w:r>
        <w:rPr>
          <w:rFonts w:hint="eastAsia" w:ascii="仿宋_GB2312" w:hAnsi="仿宋_GB2312" w:eastAsia="仿宋_GB2312" w:cs="仿宋_GB2312"/>
          <w:color w:val="auto"/>
          <w:sz w:val="32"/>
          <w:szCs w:val="32"/>
          <w:lang w:eastAsia="zh-CN"/>
        </w:rPr>
        <w:t>市农</w:t>
      </w:r>
      <w:r>
        <w:rPr>
          <w:rFonts w:hint="eastAsia" w:ascii="仿宋_GB2312" w:hAnsi="仿宋_GB2312" w:eastAsia="仿宋_GB2312" w:cs="仿宋_GB2312"/>
          <w:color w:val="auto"/>
          <w:sz w:val="32"/>
          <w:szCs w:val="32"/>
          <w:lang w:val="en-US" w:eastAsia="zh-CN"/>
        </w:rPr>
        <w:t>业农村局收到核验申请报告后，联合财政、自然资源和发改等部门对各县（市、区）上报的项目初验资料进行审核，对符合要求并具有较强竞争力的项目进行现场核验。现场核验采取“</w:t>
      </w:r>
      <w:r>
        <w:rPr>
          <w:rFonts w:hint="eastAsia" w:ascii="仿宋_GB2312" w:hAnsi="仿宋_GB2312" w:eastAsia="仿宋_GB2312" w:cs="仿宋_GB2312"/>
          <w:color w:val="auto"/>
          <w:sz w:val="32"/>
          <w:szCs w:val="32"/>
        </w:rPr>
        <w:t>听、看、查、议”相结合的方式，重点对</w:t>
      </w:r>
      <w:r>
        <w:rPr>
          <w:rFonts w:hint="eastAsia" w:ascii="仿宋_GB2312" w:hAnsi="仿宋_GB2312" w:eastAsia="仿宋_GB2312" w:cs="仿宋_GB2312"/>
          <w:color w:val="auto"/>
          <w:sz w:val="32"/>
          <w:szCs w:val="32"/>
          <w:lang w:eastAsia="zh-CN"/>
        </w:rPr>
        <w:t>项目的建设</w:t>
      </w:r>
      <w:r>
        <w:rPr>
          <w:rFonts w:hint="eastAsia" w:ascii="仿宋_GB2312" w:hAnsi="仿宋_GB2312" w:eastAsia="仿宋_GB2312" w:cs="仿宋_GB2312"/>
          <w:color w:val="auto"/>
          <w:sz w:val="32"/>
          <w:szCs w:val="32"/>
        </w:rPr>
        <w:t>现场</w:t>
      </w:r>
      <w:r>
        <w:rPr>
          <w:rFonts w:hint="eastAsia" w:ascii="仿宋_GB2312" w:hAnsi="仿宋_GB2312" w:eastAsia="仿宋_GB2312" w:cs="仿宋_GB2312"/>
          <w:color w:val="auto"/>
          <w:sz w:val="32"/>
          <w:szCs w:val="32"/>
          <w:lang w:eastAsia="zh-CN"/>
        </w:rPr>
        <w:t>及有</w:t>
      </w:r>
      <w:r>
        <w:rPr>
          <w:rFonts w:hint="eastAsia" w:ascii="仿宋_GB2312" w:hAnsi="仿宋_GB2312" w:eastAsia="仿宋_GB2312" w:cs="仿宋_GB2312"/>
          <w:color w:val="auto"/>
          <w:sz w:val="32"/>
          <w:szCs w:val="32"/>
        </w:rPr>
        <w:t>关佐证材料进行核实</w:t>
      </w:r>
      <w:r>
        <w:rPr>
          <w:rFonts w:hint="eastAsia" w:ascii="仿宋_GB2312" w:hAnsi="仿宋_GB2312" w:eastAsia="仿宋_GB2312" w:cs="仿宋_GB2312"/>
          <w:color w:val="auto"/>
          <w:sz w:val="32"/>
          <w:szCs w:val="32"/>
          <w:lang w:eastAsia="zh-CN"/>
        </w:rPr>
        <w:t>。核验完成后，验收组须</w:t>
      </w:r>
      <w:r>
        <w:rPr>
          <w:rFonts w:hint="eastAsia" w:ascii="仿宋_GB2312" w:hAnsi="仿宋_GB2312" w:eastAsia="仿宋_GB2312" w:cs="仿宋_GB2312"/>
          <w:color w:val="auto"/>
          <w:sz w:val="32"/>
          <w:szCs w:val="32"/>
        </w:rPr>
        <w:t>形成核验意见</w:t>
      </w:r>
      <w:r>
        <w:rPr>
          <w:rFonts w:hint="eastAsia" w:ascii="仿宋_GB2312" w:hAnsi="仿宋_GB2312" w:eastAsia="仿宋_GB2312" w:cs="仿宋_GB2312"/>
          <w:color w:val="auto"/>
          <w:sz w:val="32"/>
          <w:szCs w:val="32"/>
          <w:lang w:eastAsia="zh-CN"/>
        </w:rPr>
        <w:t>，出具</w:t>
      </w:r>
      <w:r>
        <w:rPr>
          <w:rFonts w:hint="eastAsia" w:ascii="仿宋_GB2312" w:hAnsi="仿宋_GB2312" w:eastAsia="仿宋_GB2312" w:cs="仿宋_GB2312"/>
          <w:color w:val="auto"/>
          <w:sz w:val="32"/>
          <w:szCs w:val="32"/>
        </w:rPr>
        <w:t>核验评分结果及排名情况。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三、验收结果运用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市级对核验合格</w:t>
      </w:r>
      <w:r>
        <w:rPr>
          <w:rFonts w:hint="eastAsia" w:ascii="仿宋_GB2312" w:hAnsi="仿宋_GB2312" w:eastAsia="仿宋_GB2312" w:cs="仿宋_GB2312"/>
          <w:color w:val="auto"/>
          <w:sz w:val="32"/>
          <w:szCs w:val="32"/>
          <w:lang w:eastAsia="zh-CN"/>
        </w:rPr>
        <w:t>（总得分大于等于</w:t>
      </w:r>
      <w:r>
        <w:rPr>
          <w:rFonts w:hint="eastAsia" w:ascii="仿宋_GB2312" w:hAnsi="仿宋_GB2312" w:eastAsia="仿宋_GB2312" w:cs="仿宋_GB2312"/>
          <w:color w:val="auto"/>
          <w:sz w:val="32"/>
          <w:szCs w:val="32"/>
          <w:lang w:val="en-US" w:eastAsia="zh-CN"/>
        </w:rPr>
        <w:t>75分</w:t>
      </w:r>
      <w:r>
        <w:rPr>
          <w:rFonts w:hint="eastAsia" w:ascii="仿宋_GB2312" w:hAnsi="仿宋_GB2312" w:eastAsia="仿宋_GB2312" w:cs="仿宋_GB2312"/>
          <w:color w:val="auto"/>
          <w:sz w:val="32"/>
          <w:szCs w:val="32"/>
          <w:lang w:eastAsia="zh-CN"/>
        </w:rPr>
        <w:t>），且排名前</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的示范基地进行奖励，每亩</w:t>
      </w:r>
      <w:r>
        <w:rPr>
          <w:rFonts w:hint="eastAsia" w:ascii="仿宋_GB2312" w:hAnsi="仿宋_GB2312" w:eastAsia="仿宋_GB2312" w:cs="仿宋_GB2312"/>
          <w:color w:val="auto"/>
          <w:sz w:val="32"/>
          <w:szCs w:val="32"/>
          <w:lang w:eastAsia="zh-CN"/>
        </w:rPr>
        <w:t>按不超过</w:t>
      </w:r>
      <w:r>
        <w:rPr>
          <w:rFonts w:hint="eastAsia" w:ascii="仿宋_GB2312" w:hAnsi="仿宋_GB2312" w:eastAsia="仿宋_GB2312" w:cs="仿宋_GB2312"/>
          <w:color w:val="auto"/>
          <w:sz w:val="32"/>
          <w:szCs w:val="32"/>
        </w:rPr>
        <w:t>当年度亩</w:t>
      </w:r>
      <w:r>
        <w:rPr>
          <w:rFonts w:hint="eastAsia" w:ascii="仿宋_GB2312" w:hAnsi="仿宋_GB2312" w:eastAsia="仿宋_GB2312" w:cs="仿宋_GB2312"/>
          <w:color w:val="auto"/>
          <w:sz w:val="32"/>
          <w:szCs w:val="32"/>
          <w:lang w:eastAsia="zh-CN"/>
        </w:rPr>
        <w:t>平均</w:t>
      </w:r>
      <w:r>
        <w:rPr>
          <w:rFonts w:hint="eastAsia" w:ascii="仿宋_GB2312" w:hAnsi="仿宋_GB2312" w:eastAsia="仿宋_GB2312" w:cs="仿宋_GB2312"/>
          <w:color w:val="auto"/>
          <w:sz w:val="32"/>
          <w:szCs w:val="32"/>
        </w:rPr>
        <w:t>生产总成本</w:t>
      </w:r>
      <w:r>
        <w:rPr>
          <w:rFonts w:hint="eastAsia" w:ascii="仿宋_GB2312" w:hAnsi="仿宋_GB2312" w:eastAsia="仿宋_GB2312" w:cs="仿宋_GB2312"/>
          <w:color w:val="auto"/>
          <w:sz w:val="32"/>
          <w:szCs w:val="32"/>
          <w:lang w:eastAsia="zh-CN"/>
        </w:rPr>
        <w:t>（基础设施除外）</w:t>
      </w:r>
      <w:r>
        <w:rPr>
          <w:rFonts w:hint="eastAsia" w:ascii="仿宋_GB2312" w:hAnsi="仿宋_GB2312" w:eastAsia="仿宋_GB2312" w:cs="仿宋_GB2312"/>
          <w:color w:val="auto"/>
          <w:sz w:val="32"/>
          <w:szCs w:val="32"/>
        </w:rPr>
        <w:t>的50%</w:t>
      </w:r>
      <w:r>
        <w:rPr>
          <w:rFonts w:hint="eastAsia" w:ascii="仿宋_GB2312" w:hAnsi="仿宋_GB2312" w:eastAsia="仿宋_GB2312" w:cs="仿宋_GB2312"/>
          <w:color w:val="auto"/>
          <w:sz w:val="32"/>
          <w:szCs w:val="32"/>
          <w:lang w:eastAsia="zh-CN"/>
        </w:rPr>
        <w:t>进行</w:t>
      </w:r>
      <w:r>
        <w:rPr>
          <w:rFonts w:hint="eastAsia" w:ascii="仿宋_GB2312" w:hAnsi="仿宋_GB2312" w:eastAsia="仿宋_GB2312" w:cs="仿宋_GB2312"/>
          <w:color w:val="auto"/>
          <w:sz w:val="32"/>
          <w:szCs w:val="32"/>
        </w:rPr>
        <w:t>奖励</w:t>
      </w:r>
      <w:r>
        <w:rPr>
          <w:rFonts w:hint="eastAsia" w:ascii="仿宋_GB2312" w:hAnsi="仿宋_GB2312" w:eastAsia="仿宋_GB2312" w:cs="仿宋_GB2312"/>
          <w:color w:val="auto"/>
          <w:sz w:val="32"/>
          <w:szCs w:val="32"/>
          <w:lang w:eastAsia="zh-CN"/>
        </w:rPr>
        <w:t>，每个示范基地补助不得超过</w:t>
      </w:r>
      <w:r>
        <w:rPr>
          <w:rFonts w:hint="eastAsia" w:ascii="仿宋_GB2312" w:hAnsi="仿宋_GB2312" w:eastAsia="仿宋_GB2312" w:cs="仿宋_GB2312"/>
          <w:color w:val="auto"/>
          <w:sz w:val="32"/>
          <w:szCs w:val="32"/>
          <w:lang w:val="en-US" w:eastAsia="zh-CN"/>
        </w:rPr>
        <w:t>5万元。所有示范基地奖励资金总额不得超过本年度项目资金安排。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四、附则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本办法由龙岩市农业农村局负责解释。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本办法自印发之日起施行。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联系人：</w:t>
      </w:r>
      <w:r>
        <w:rPr>
          <w:rFonts w:hint="eastAsia" w:ascii="仿宋_GB2312" w:hAnsi="仿宋_GB2312" w:eastAsia="仿宋_GB2312" w:cs="仿宋_GB2312"/>
          <w:color w:val="auto"/>
          <w:sz w:val="32"/>
          <w:szCs w:val="32"/>
          <w:lang w:val="en-US" w:eastAsia="zh-CN"/>
        </w:rPr>
        <w:t>赖龙玉    0597-2268652</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邮箱：fjslyssjz2292479@163.com</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附件：1.龙岩市稻田综合种养奖励项目考核验收申请表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pacing w:val="-11"/>
          <w:sz w:val="32"/>
          <w:szCs w:val="32"/>
        </w:rPr>
        <w:sectPr>
          <w:footerReference r:id="rId3" w:type="default"/>
          <w:pgSz w:w="11906" w:h="16838"/>
          <w:pgMar w:top="2098" w:right="1531" w:bottom="1871" w:left="1531" w:header="851" w:footer="1531" w:gutter="0"/>
          <w:pgNumType w:fmt="decimal"/>
          <w:cols w:space="720" w:num="1"/>
          <w:rtlGutter w:val="0"/>
          <w:docGrid w:type="lines" w:linePitch="312" w:charSpace="0"/>
        </w:sectPr>
      </w:pPr>
      <w:r>
        <w:rPr>
          <w:rFonts w:hint="eastAsia" w:ascii="仿宋_GB2312" w:hAnsi="仿宋_GB2312" w:eastAsia="仿宋_GB2312" w:cs="仿宋_GB2312"/>
          <w:color w:val="auto"/>
          <w:sz w:val="32"/>
          <w:szCs w:val="32"/>
        </w:rPr>
        <w:t xml:space="preserve">      2.</w:t>
      </w:r>
      <w:r>
        <w:rPr>
          <w:rFonts w:hint="eastAsia" w:ascii="仿宋_GB2312" w:hAnsi="仿宋_GB2312" w:eastAsia="仿宋_GB2312" w:cs="仿宋_GB2312"/>
          <w:color w:val="auto"/>
          <w:spacing w:val="-11"/>
          <w:sz w:val="32"/>
          <w:szCs w:val="32"/>
        </w:rPr>
        <w:t>龙岩市稻田综合种养奖励项目考核验收评分表</w:t>
      </w:r>
    </w:p>
    <w:p>
      <w:pPr>
        <w:widowControl w:val="0"/>
        <w:wordWrap/>
        <w:adjustRightInd/>
        <w:snapToGrid/>
        <w:spacing w:line="600" w:lineRule="exact"/>
        <w:textAlignment w:val="auto"/>
        <w:rPr>
          <w:rFonts w:hint="eastAsia" w:ascii="黑体" w:hAnsi="宋体" w:eastAsia="黑体" w:cs="黑体"/>
          <w:i w:val="0"/>
          <w:color w:val="auto"/>
          <w:kern w:val="0"/>
          <w:sz w:val="32"/>
          <w:szCs w:val="32"/>
          <w:u w:val="none"/>
          <w:lang w:val="en-US" w:eastAsia="zh-CN" w:bidi="ar-SA"/>
        </w:rPr>
      </w:pPr>
      <w:r>
        <w:rPr>
          <w:rFonts w:hint="eastAsia" w:ascii="黑体" w:hAnsi="宋体" w:eastAsia="黑体" w:cs="黑体"/>
          <w:i w:val="0"/>
          <w:color w:val="auto"/>
          <w:kern w:val="0"/>
          <w:sz w:val="32"/>
          <w:szCs w:val="32"/>
          <w:u w:val="none"/>
          <w:lang w:val="en-US" w:eastAsia="zh-CN" w:bidi="ar-SA"/>
        </w:rPr>
        <w:t>附件1</w:t>
      </w:r>
    </w:p>
    <w:p>
      <w:pPr>
        <w:pStyle w:val="5"/>
        <w:rPr>
          <w:rFonts w:hint="eastAsia"/>
          <w:color w:val="auto"/>
          <w:lang w:val="en-US" w:eastAsia="zh-CN"/>
        </w:rPr>
      </w:pPr>
    </w:p>
    <w:p>
      <w:pPr>
        <w:pStyle w:val="5"/>
        <w:widowControl w:val="0"/>
        <w:wordWrap/>
        <w:adjustRightInd/>
        <w:snapToGrid/>
        <w:spacing w:line="600" w:lineRule="exact"/>
        <w:jc w:val="center"/>
        <w:textAlignment w:val="auto"/>
        <w:rPr>
          <w:rFonts w:hint="eastAsia" w:ascii="方正小标宋简体" w:hAnsi="方正小标宋简体" w:eastAsia="方正小标宋简体" w:cs="方正小标宋简体"/>
          <w:i w:val="0"/>
          <w:color w:val="auto"/>
          <w:w w:val="90"/>
          <w:kern w:val="0"/>
          <w:sz w:val="44"/>
          <w:szCs w:val="44"/>
          <w:u w:val="none"/>
          <w:lang w:val="en-US" w:eastAsia="zh-CN" w:bidi="ar-SA"/>
        </w:rPr>
      </w:pPr>
      <w:r>
        <w:rPr>
          <w:rFonts w:hint="eastAsia" w:ascii="方正小标宋简体" w:hAnsi="方正小标宋简体" w:eastAsia="方正小标宋简体" w:cs="方正小标宋简体"/>
          <w:i w:val="0"/>
          <w:color w:val="auto"/>
          <w:w w:val="90"/>
          <w:kern w:val="0"/>
          <w:sz w:val="44"/>
          <w:szCs w:val="44"/>
          <w:u w:val="none"/>
          <w:lang w:val="en-US" w:eastAsia="zh-CN" w:bidi="ar-SA"/>
        </w:rPr>
        <w:t>龙岩市稻田综合种养奖励项目考核验收申请表</w:t>
      </w:r>
    </w:p>
    <w:tbl>
      <w:tblPr>
        <w:tblStyle w:val="12"/>
        <w:tblpPr w:leftFromText="180" w:rightFromText="180" w:vertAnchor="text" w:horzAnchor="page" w:tblpXSpec="center" w:tblpY="270"/>
        <w:tblOverlap w:val="never"/>
        <w:tblW w:w="97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80"/>
        <w:gridCol w:w="2320"/>
        <w:gridCol w:w="2737"/>
        <w:gridCol w:w="1600"/>
        <w:gridCol w:w="20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2" w:hRule="atLeast"/>
          <w:jc w:val="center"/>
        </w:trPr>
        <w:tc>
          <w:tcPr>
            <w:tcW w:w="3400"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申请人</w:t>
            </w:r>
            <w:r>
              <w:rPr>
                <w:rStyle w:val="28"/>
                <w:color w:val="auto"/>
                <w:lang w:val="en-US" w:eastAsia="zh-CN" w:bidi="ar-SA"/>
              </w:rPr>
              <w:t>/</w:t>
            </w:r>
            <w:r>
              <w:rPr>
                <w:rFonts w:hint="eastAsia" w:ascii="仿宋_GB2312" w:hAnsi="宋体" w:eastAsia="仿宋_GB2312" w:cs="仿宋_GB2312"/>
                <w:i w:val="0"/>
                <w:color w:val="auto"/>
                <w:kern w:val="0"/>
                <w:sz w:val="24"/>
                <w:szCs w:val="24"/>
                <w:u w:val="none"/>
                <w:lang w:val="en-US" w:eastAsia="zh-CN" w:bidi="ar-SA"/>
              </w:rPr>
              <w:t>组织名称</w:t>
            </w:r>
          </w:p>
        </w:tc>
        <w:tc>
          <w:tcPr>
            <w:tcW w:w="2737"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SA"/>
              </w:rPr>
              <w:t>　</w:t>
            </w:r>
          </w:p>
        </w:tc>
        <w:tc>
          <w:tcPr>
            <w:tcW w:w="1600"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联系电话</w:t>
            </w:r>
          </w:p>
        </w:tc>
        <w:tc>
          <w:tcPr>
            <w:tcW w:w="2000"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2" w:hRule="atLeast"/>
          <w:jc w:val="center"/>
        </w:trPr>
        <w:tc>
          <w:tcPr>
            <w:tcW w:w="3400"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身份证号码</w:t>
            </w:r>
            <w:r>
              <w:rPr>
                <w:rStyle w:val="28"/>
                <w:color w:val="auto"/>
                <w:lang w:val="en-US" w:eastAsia="zh-CN" w:bidi="ar-SA"/>
              </w:rPr>
              <w:t>/</w:t>
            </w:r>
            <w:r>
              <w:rPr>
                <w:rFonts w:hint="eastAsia" w:ascii="仿宋_GB2312" w:hAnsi="宋体" w:eastAsia="仿宋_GB2312" w:cs="仿宋_GB2312"/>
                <w:i w:val="0"/>
                <w:color w:val="auto"/>
                <w:kern w:val="0"/>
                <w:sz w:val="24"/>
                <w:szCs w:val="24"/>
                <w:u w:val="none"/>
                <w:lang w:val="en-US" w:eastAsia="zh-CN" w:bidi="ar-SA"/>
              </w:rPr>
              <w:t>统一社会信用代码</w:t>
            </w:r>
          </w:p>
        </w:tc>
        <w:tc>
          <w:tcPr>
            <w:tcW w:w="6337" w:type="dxa"/>
            <w:gridSpan w:val="3"/>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2" w:hRule="atLeast"/>
          <w:jc w:val="center"/>
        </w:trPr>
        <w:tc>
          <w:tcPr>
            <w:tcW w:w="3400"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现办公地点或居住地</w:t>
            </w:r>
          </w:p>
        </w:tc>
        <w:tc>
          <w:tcPr>
            <w:tcW w:w="6337" w:type="dxa"/>
            <w:gridSpan w:val="3"/>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2" w:hRule="atLeast"/>
          <w:jc w:val="center"/>
        </w:trPr>
        <w:tc>
          <w:tcPr>
            <w:tcW w:w="3400"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示范基地详细地址</w:t>
            </w:r>
          </w:p>
        </w:tc>
        <w:tc>
          <w:tcPr>
            <w:tcW w:w="6337" w:type="dxa"/>
            <w:gridSpan w:val="3"/>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2" w:hRule="atLeast"/>
          <w:jc w:val="center"/>
        </w:trPr>
        <w:tc>
          <w:tcPr>
            <w:tcW w:w="3400"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种养方式及品种</w:t>
            </w:r>
          </w:p>
        </w:tc>
        <w:tc>
          <w:tcPr>
            <w:tcW w:w="6337" w:type="dxa"/>
            <w:gridSpan w:val="3"/>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7" w:hRule="atLeast"/>
          <w:jc w:val="center"/>
        </w:trPr>
        <w:tc>
          <w:tcPr>
            <w:tcW w:w="3400"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种养规模(亩）</w:t>
            </w:r>
          </w:p>
        </w:tc>
        <w:tc>
          <w:tcPr>
            <w:tcW w:w="6337" w:type="dxa"/>
            <w:gridSpan w:val="3"/>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4" w:hRule="atLeast"/>
          <w:jc w:val="center"/>
        </w:trPr>
        <w:tc>
          <w:tcPr>
            <w:tcW w:w="3400"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主要技术要点</w:t>
            </w:r>
          </w:p>
        </w:tc>
        <w:tc>
          <w:tcPr>
            <w:tcW w:w="6337" w:type="dxa"/>
            <w:gridSpan w:val="3"/>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4" w:hRule="atLeast"/>
          <w:jc w:val="center"/>
        </w:trPr>
        <w:tc>
          <w:tcPr>
            <w:tcW w:w="3400"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预计全年产量、产值与效益</w:t>
            </w:r>
          </w:p>
        </w:tc>
        <w:tc>
          <w:tcPr>
            <w:tcW w:w="6337" w:type="dxa"/>
            <w:gridSpan w:val="3"/>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2" w:hRule="atLeast"/>
          <w:jc w:val="center"/>
        </w:trPr>
        <w:tc>
          <w:tcPr>
            <w:tcW w:w="1080" w:type="dxa"/>
            <w:vMerge w:val="restart"/>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申请人/组织银行账号</w:t>
            </w:r>
          </w:p>
        </w:tc>
        <w:tc>
          <w:tcPr>
            <w:tcW w:w="8657" w:type="dxa"/>
            <w:gridSpan w:val="4"/>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收款单位（在银行类金融机构所开户头的全称）: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2" w:hRule="atLeast"/>
          <w:jc w:val="center"/>
        </w:trPr>
        <w:tc>
          <w:tcPr>
            <w:tcW w:w="1080" w:type="dxa"/>
            <w:vMerge w:val="continue"/>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657" w:type="dxa"/>
            <w:gridSpan w:val="4"/>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开户银行（xx银行xx分行或支行）：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2" w:hRule="atLeast"/>
          <w:jc w:val="center"/>
        </w:trPr>
        <w:tc>
          <w:tcPr>
            <w:tcW w:w="1080" w:type="dxa"/>
            <w:vMerge w:val="continue"/>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657" w:type="dxa"/>
            <w:gridSpan w:val="4"/>
            <w:tcBorders>
              <w:top w:val="single" w:color="auto" w:sz="4" w:space="0"/>
              <w:left w:val="nil"/>
              <w:bottom w:val="nil"/>
              <w:right w:val="single" w:color="auto" w:sz="4" w:space="0"/>
            </w:tcBorders>
            <w:shd w:val="clear" w:color="000000" w:fill="FFFFFF"/>
            <w:tcMar>
              <w:top w:w="15" w:type="dxa"/>
              <w:left w:w="15" w:type="dxa"/>
              <w:right w:w="15" w:type="dxa"/>
            </w:tcMar>
            <w:vAlign w:val="center"/>
          </w:tcPr>
          <w:p>
            <w:pPr>
              <w:widowControl/>
              <w:jc w:val="left"/>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 w:hRule="atLeast"/>
          <w:jc w:val="center"/>
        </w:trPr>
        <w:tc>
          <w:tcPr>
            <w:tcW w:w="1080" w:type="dxa"/>
            <w:vMerge w:val="restart"/>
            <w:tcBorders>
              <w:top w:val="nil"/>
              <w:left w:val="single" w:color="auto" w:sz="4" w:space="0"/>
              <w:bottom w:val="single" w:color="auto" w:sz="4" w:space="0"/>
              <w:right w:val="nil"/>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申请者承诺</w:t>
            </w:r>
          </w:p>
        </w:tc>
        <w:tc>
          <w:tcPr>
            <w:tcW w:w="8657" w:type="dxa"/>
            <w:gridSpan w:val="4"/>
            <w:vMerge w:val="restart"/>
            <w:tcBorders>
              <w:top w:val="single" w:color="auto" w:sz="4" w:space="0"/>
              <w:left w:val="single" w:color="auto" w:sz="4" w:space="0"/>
              <w:bottom w:val="nil"/>
              <w:right w:val="single" w:color="000000" w:sz="4" w:space="0"/>
            </w:tcBorders>
            <w:shd w:val="clear" w:color="000000" w:fill="FFFFFF"/>
            <w:tcMar>
              <w:top w:w="15" w:type="dxa"/>
              <w:left w:w="15" w:type="dxa"/>
              <w:right w:w="15" w:type="dxa"/>
            </w:tcMar>
            <w:vAlign w:val="center"/>
          </w:tcPr>
          <w:p>
            <w:pPr>
              <w:widowControl/>
              <w:jc w:val="left"/>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 xml:space="preserve">    本单位（人）已知晓政策规定，对提供的信息和资料的完整性及真实性负责，如有骗取补助、奖励资金等违法违规行为，自愿退回补助、奖励资金，并承担相应法律责任。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 w:hRule="atLeast"/>
          <w:jc w:val="center"/>
        </w:trPr>
        <w:tc>
          <w:tcPr>
            <w:tcW w:w="1080" w:type="dxa"/>
            <w:vMerge w:val="continue"/>
            <w:tcBorders>
              <w:top w:val="nil"/>
              <w:left w:val="single" w:color="auto" w:sz="4" w:space="0"/>
              <w:bottom w:val="single" w:color="auto" w:sz="4" w:space="0"/>
              <w:right w:val="nil"/>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657" w:type="dxa"/>
            <w:gridSpan w:val="4"/>
            <w:vMerge w:val="continue"/>
            <w:tcBorders>
              <w:top w:val="single" w:color="auto" w:sz="4" w:space="0"/>
              <w:left w:val="single" w:color="auto" w:sz="4" w:space="0"/>
              <w:bottom w:val="nil"/>
              <w:right w:val="single" w:color="000000" w:sz="4" w:space="0"/>
            </w:tcBorders>
            <w:shd w:val="clear" w:color="000000" w:fill="FFFFFF"/>
            <w:tcMar>
              <w:top w:w="15" w:type="dxa"/>
              <w:left w:w="15" w:type="dxa"/>
              <w:right w:w="15" w:type="dxa"/>
            </w:tcMar>
            <w:vAlign w:val="center"/>
          </w:tcPr>
          <w:p>
            <w:pPr>
              <w:jc w:val="left"/>
              <w:rPr>
                <w:rFonts w:hint="eastAsia" w:ascii="仿宋_GB2312" w:hAnsi="宋体" w:eastAsia="仿宋_GB2312" w:cs="仿宋_GB2312"/>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 w:hRule="atLeast"/>
          <w:jc w:val="center"/>
        </w:trPr>
        <w:tc>
          <w:tcPr>
            <w:tcW w:w="1080" w:type="dxa"/>
            <w:vMerge w:val="continue"/>
            <w:tcBorders>
              <w:top w:val="nil"/>
              <w:left w:val="single" w:color="auto" w:sz="4" w:space="0"/>
              <w:bottom w:val="single" w:color="auto" w:sz="4" w:space="0"/>
              <w:right w:val="nil"/>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657" w:type="dxa"/>
            <w:gridSpan w:val="4"/>
            <w:vMerge w:val="continue"/>
            <w:tcBorders>
              <w:top w:val="single" w:color="auto" w:sz="4" w:space="0"/>
              <w:left w:val="single" w:color="auto" w:sz="4" w:space="0"/>
              <w:bottom w:val="nil"/>
              <w:right w:val="single" w:color="000000" w:sz="4" w:space="0"/>
            </w:tcBorders>
            <w:shd w:val="clear" w:color="000000" w:fill="FFFFFF"/>
            <w:tcMar>
              <w:top w:w="15" w:type="dxa"/>
              <w:left w:w="15" w:type="dxa"/>
              <w:right w:w="15" w:type="dxa"/>
            </w:tcMar>
            <w:vAlign w:val="center"/>
          </w:tcPr>
          <w:p>
            <w:pPr>
              <w:jc w:val="left"/>
              <w:rPr>
                <w:rFonts w:hint="eastAsia" w:ascii="仿宋_GB2312" w:hAnsi="宋体" w:eastAsia="仿宋_GB2312" w:cs="仿宋_GB2312"/>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 w:hRule="atLeast"/>
          <w:jc w:val="center"/>
        </w:trPr>
        <w:tc>
          <w:tcPr>
            <w:tcW w:w="1080" w:type="dxa"/>
            <w:vMerge w:val="continue"/>
            <w:tcBorders>
              <w:top w:val="nil"/>
              <w:left w:val="single" w:color="auto" w:sz="4" w:space="0"/>
              <w:bottom w:val="single" w:color="auto" w:sz="4" w:space="0"/>
              <w:right w:val="nil"/>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657" w:type="dxa"/>
            <w:gridSpan w:val="4"/>
            <w:vMerge w:val="continue"/>
            <w:tcBorders>
              <w:top w:val="single" w:color="auto" w:sz="4" w:space="0"/>
              <w:left w:val="single" w:color="auto" w:sz="4" w:space="0"/>
              <w:bottom w:val="nil"/>
              <w:right w:val="single" w:color="000000" w:sz="4" w:space="0"/>
            </w:tcBorders>
            <w:shd w:val="clear" w:color="000000" w:fill="FFFFFF"/>
            <w:tcMar>
              <w:top w:w="15" w:type="dxa"/>
              <w:left w:w="15" w:type="dxa"/>
              <w:right w:w="15" w:type="dxa"/>
            </w:tcMar>
            <w:vAlign w:val="center"/>
          </w:tcPr>
          <w:p>
            <w:pPr>
              <w:jc w:val="left"/>
              <w:rPr>
                <w:rFonts w:hint="eastAsia" w:ascii="仿宋_GB2312" w:hAnsi="宋体" w:eastAsia="仿宋_GB2312" w:cs="仿宋_GB2312"/>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 w:hRule="atLeast"/>
          <w:jc w:val="center"/>
        </w:trPr>
        <w:tc>
          <w:tcPr>
            <w:tcW w:w="1080" w:type="dxa"/>
            <w:vMerge w:val="continue"/>
            <w:tcBorders>
              <w:top w:val="nil"/>
              <w:left w:val="single" w:color="auto" w:sz="4" w:space="0"/>
              <w:bottom w:val="single" w:color="auto" w:sz="4" w:space="0"/>
              <w:right w:val="nil"/>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657" w:type="dxa"/>
            <w:gridSpan w:val="4"/>
            <w:vMerge w:val="continue"/>
            <w:tcBorders>
              <w:top w:val="single" w:color="auto" w:sz="4" w:space="0"/>
              <w:left w:val="single" w:color="auto" w:sz="4" w:space="0"/>
              <w:bottom w:val="nil"/>
              <w:right w:val="single" w:color="000000" w:sz="4" w:space="0"/>
            </w:tcBorders>
            <w:shd w:val="clear" w:color="000000" w:fill="FFFFFF"/>
            <w:tcMar>
              <w:top w:w="15" w:type="dxa"/>
              <w:left w:w="15" w:type="dxa"/>
              <w:right w:w="15" w:type="dxa"/>
            </w:tcMar>
            <w:vAlign w:val="center"/>
          </w:tcPr>
          <w:p>
            <w:pPr>
              <w:jc w:val="left"/>
              <w:rPr>
                <w:rFonts w:hint="eastAsia" w:ascii="仿宋_GB2312" w:hAnsi="宋体" w:eastAsia="仿宋_GB2312" w:cs="仿宋_GB2312"/>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 w:hRule="atLeast"/>
          <w:jc w:val="center"/>
        </w:trPr>
        <w:tc>
          <w:tcPr>
            <w:tcW w:w="1080" w:type="dxa"/>
            <w:vMerge w:val="continue"/>
            <w:tcBorders>
              <w:top w:val="nil"/>
              <w:left w:val="single" w:color="auto" w:sz="4" w:space="0"/>
              <w:bottom w:val="single" w:color="auto" w:sz="4" w:space="0"/>
              <w:right w:val="nil"/>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657" w:type="dxa"/>
            <w:gridSpan w:val="4"/>
            <w:vMerge w:val="continue"/>
            <w:tcBorders>
              <w:top w:val="single" w:color="auto" w:sz="4" w:space="0"/>
              <w:left w:val="single" w:color="auto" w:sz="4" w:space="0"/>
              <w:bottom w:val="nil"/>
              <w:right w:val="single" w:color="000000" w:sz="4" w:space="0"/>
            </w:tcBorders>
            <w:shd w:val="clear" w:color="000000" w:fill="FFFFFF"/>
            <w:tcMar>
              <w:top w:w="15" w:type="dxa"/>
              <w:left w:w="15" w:type="dxa"/>
              <w:right w:w="15" w:type="dxa"/>
            </w:tcMar>
            <w:vAlign w:val="center"/>
          </w:tcPr>
          <w:p>
            <w:pPr>
              <w:jc w:val="left"/>
              <w:rPr>
                <w:rFonts w:hint="eastAsia" w:ascii="仿宋_GB2312" w:hAnsi="宋体" w:eastAsia="仿宋_GB2312" w:cs="仿宋_GB2312"/>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 w:hRule="atLeast"/>
          <w:jc w:val="center"/>
        </w:trPr>
        <w:tc>
          <w:tcPr>
            <w:tcW w:w="1080" w:type="dxa"/>
            <w:vMerge w:val="continue"/>
            <w:tcBorders>
              <w:top w:val="nil"/>
              <w:left w:val="single" w:color="auto" w:sz="4" w:space="0"/>
              <w:bottom w:val="single" w:color="auto" w:sz="4" w:space="0"/>
              <w:right w:val="nil"/>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657" w:type="dxa"/>
            <w:gridSpan w:val="4"/>
            <w:vMerge w:val="restart"/>
            <w:tcBorders>
              <w:top w:val="nil"/>
              <w:left w:val="single" w:color="auto" w:sz="4" w:space="0"/>
              <w:bottom w:val="nil"/>
              <w:right w:val="single" w:color="000000"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kern w:val="0"/>
                <w:sz w:val="24"/>
                <w:szCs w:val="24"/>
                <w:u w:val="none"/>
                <w:lang w:val="en-US" w:eastAsia="zh-CN" w:bidi="ar-SA"/>
              </w:rPr>
            </w:pPr>
          </w:p>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申请者签字（印章）：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 w:hRule="atLeast"/>
          <w:jc w:val="center"/>
        </w:trPr>
        <w:tc>
          <w:tcPr>
            <w:tcW w:w="1080" w:type="dxa"/>
            <w:vMerge w:val="continue"/>
            <w:tcBorders>
              <w:top w:val="nil"/>
              <w:left w:val="single" w:color="auto" w:sz="4" w:space="0"/>
              <w:bottom w:val="single" w:color="auto" w:sz="4" w:space="0"/>
              <w:right w:val="nil"/>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657" w:type="dxa"/>
            <w:gridSpan w:val="4"/>
            <w:vMerge w:val="continue"/>
            <w:tcBorders>
              <w:top w:val="nil"/>
              <w:left w:val="single" w:color="auto" w:sz="4" w:space="0"/>
              <w:bottom w:val="nil"/>
              <w:right w:val="single" w:color="000000" w:sz="4" w:space="0"/>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 w:hRule="atLeast"/>
          <w:jc w:val="center"/>
        </w:trPr>
        <w:tc>
          <w:tcPr>
            <w:tcW w:w="1080" w:type="dxa"/>
            <w:vMerge w:val="continue"/>
            <w:tcBorders>
              <w:top w:val="nil"/>
              <w:left w:val="single" w:color="auto" w:sz="4" w:space="0"/>
              <w:bottom w:val="single" w:color="auto" w:sz="4" w:space="0"/>
              <w:right w:val="nil"/>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657" w:type="dxa"/>
            <w:gridSpan w:val="4"/>
            <w:vMerge w:val="restart"/>
            <w:tcBorders>
              <w:top w:val="nil"/>
              <w:left w:val="single" w:color="auto" w:sz="4" w:space="0"/>
              <w:bottom w:val="single" w:color="000000" w:sz="4" w:space="0"/>
              <w:right w:val="single" w:color="000000"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 xml:space="preserve">                                    年  </w:t>
            </w:r>
            <w:r>
              <w:rPr>
                <w:rStyle w:val="28"/>
                <w:color w:val="auto"/>
                <w:lang w:val="en-US" w:eastAsia="zh-CN" w:bidi="ar-SA"/>
              </w:rPr>
              <w:t xml:space="preserve"> </w:t>
            </w:r>
            <w:r>
              <w:rPr>
                <w:rFonts w:hint="default" w:ascii="Times New Roman" w:hAnsi="Times New Roman" w:eastAsia="仿宋_GB2312" w:cs="Times New Roman"/>
                <w:i w:val="0"/>
                <w:color w:val="auto"/>
                <w:kern w:val="0"/>
                <w:sz w:val="24"/>
                <w:szCs w:val="24"/>
                <w:u w:val="none"/>
                <w:lang w:val="en-US" w:eastAsia="zh-CN" w:bidi="ar-SA"/>
              </w:rPr>
              <w:t> </w:t>
            </w:r>
            <w:r>
              <w:rPr>
                <w:rStyle w:val="28"/>
                <w:color w:val="auto"/>
                <w:lang w:val="en-US" w:eastAsia="zh-CN" w:bidi="ar-SA"/>
              </w:rPr>
              <w:t xml:space="preserve"> </w:t>
            </w:r>
            <w:r>
              <w:rPr>
                <w:rFonts w:hint="eastAsia" w:ascii="仿宋_GB2312" w:hAnsi="宋体" w:eastAsia="仿宋_GB2312" w:cs="仿宋_GB2312"/>
                <w:i w:val="0"/>
                <w:color w:val="auto"/>
                <w:kern w:val="0"/>
                <w:sz w:val="24"/>
                <w:szCs w:val="24"/>
                <w:u w:val="none"/>
                <w:lang w:val="en-US" w:eastAsia="zh-CN" w:bidi="ar-SA"/>
              </w:rPr>
              <w:t>月</w:t>
            </w:r>
            <w:r>
              <w:rPr>
                <w:rStyle w:val="28"/>
                <w:color w:val="auto"/>
                <w:lang w:val="en-US" w:eastAsia="zh-CN" w:bidi="ar-SA"/>
              </w:rPr>
              <w:t xml:space="preserve">      </w:t>
            </w:r>
            <w:r>
              <w:rPr>
                <w:rFonts w:hint="eastAsia" w:ascii="仿宋_GB2312" w:hAnsi="宋体" w:eastAsia="仿宋_GB2312" w:cs="仿宋_GB2312"/>
                <w:i w:val="0"/>
                <w:color w:val="auto"/>
                <w:kern w:val="0"/>
                <w:sz w:val="24"/>
                <w:szCs w:val="24"/>
                <w:u w:val="none"/>
                <w:lang w:val="en-US" w:eastAsia="zh-CN" w:bidi="ar-SA"/>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jc w:val="center"/>
        </w:trPr>
        <w:tc>
          <w:tcPr>
            <w:tcW w:w="1080" w:type="dxa"/>
            <w:vMerge w:val="continue"/>
            <w:tcBorders>
              <w:top w:val="nil"/>
              <w:left w:val="single" w:color="auto" w:sz="4" w:space="0"/>
              <w:bottom w:val="single" w:color="auto" w:sz="4" w:space="0"/>
              <w:right w:val="nil"/>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657" w:type="dxa"/>
            <w:gridSpan w:val="4"/>
            <w:vMerge w:val="continue"/>
            <w:tcBorders>
              <w:top w:val="nil"/>
              <w:left w:val="single" w:color="auto" w:sz="4" w:space="0"/>
              <w:bottom w:val="single" w:color="000000" w:sz="4" w:space="0"/>
              <w:right w:val="single" w:color="000000" w:sz="4" w:space="0"/>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r>
    </w:tbl>
    <w:p>
      <w:pPr>
        <w:widowControl w:val="0"/>
        <w:wordWrap/>
        <w:adjustRightInd/>
        <w:snapToGrid/>
        <w:spacing w:line="600" w:lineRule="exact"/>
        <w:textAlignment w:val="auto"/>
        <w:rPr>
          <w:rFonts w:hint="eastAsia" w:ascii="黑体" w:hAnsi="宋体" w:eastAsia="黑体" w:cs="黑体"/>
          <w:i w:val="0"/>
          <w:color w:val="auto"/>
          <w:kern w:val="0"/>
          <w:sz w:val="32"/>
          <w:szCs w:val="32"/>
          <w:u w:val="none"/>
          <w:lang w:val="en-US" w:eastAsia="zh-CN" w:bidi="ar-SA"/>
        </w:rPr>
        <w:sectPr>
          <w:footerReference r:id="rId4" w:type="default"/>
          <w:pgSz w:w="11906" w:h="16838"/>
          <w:pgMar w:top="1928" w:right="1531" w:bottom="1701" w:left="1531" w:header="851" w:footer="1531" w:gutter="0"/>
          <w:pgNumType w:fmt="decimal"/>
          <w:cols w:space="720" w:num="1"/>
          <w:rtlGutter w:val="0"/>
          <w:docGrid w:type="lines" w:linePitch="319" w:charSpace="0"/>
        </w:sectPr>
      </w:pPr>
    </w:p>
    <w:p>
      <w:pPr>
        <w:widowControl w:val="0"/>
        <w:wordWrap/>
        <w:adjustRightInd/>
        <w:snapToGrid/>
        <w:spacing w:line="600" w:lineRule="exact"/>
        <w:textAlignment w:val="auto"/>
        <w:rPr>
          <w:rFonts w:hint="eastAsia" w:ascii="黑体" w:hAnsi="宋体" w:eastAsia="黑体" w:cs="黑体"/>
          <w:i w:val="0"/>
          <w:color w:val="auto"/>
          <w:kern w:val="0"/>
          <w:sz w:val="32"/>
          <w:szCs w:val="32"/>
          <w:u w:val="none"/>
          <w:lang w:val="en-US" w:eastAsia="zh-CN" w:bidi="ar-SA"/>
        </w:rPr>
      </w:pPr>
      <w:r>
        <w:rPr>
          <w:rFonts w:hint="eastAsia" w:ascii="黑体" w:hAnsi="宋体" w:eastAsia="黑体" w:cs="黑体"/>
          <w:i w:val="0"/>
          <w:color w:val="auto"/>
          <w:kern w:val="0"/>
          <w:sz w:val="32"/>
          <w:szCs w:val="32"/>
          <w:u w:val="none"/>
          <w:lang w:val="en-US" w:eastAsia="zh-CN" w:bidi="ar-SA"/>
        </w:rPr>
        <w:t>附件2</w:t>
      </w:r>
    </w:p>
    <w:p>
      <w:pPr>
        <w:pStyle w:val="2"/>
        <w:keepNext w:val="0"/>
        <w:keepLines w:val="0"/>
        <w:pageBreakBefore w:val="0"/>
        <w:widowControl w:val="0"/>
        <w:kinsoku/>
        <w:wordWrap/>
        <w:overflowPunct/>
        <w:topLinePunct w:val="0"/>
        <w:autoSpaceDE/>
        <w:autoSpaceDN/>
        <w:bidi w:val="0"/>
        <w:adjustRightInd/>
        <w:snapToGrid/>
        <w:spacing w:before="0" w:beforeAutospacing="0" w:after="0" w:line="400" w:lineRule="exact"/>
        <w:textAlignment w:val="auto"/>
        <w:rPr>
          <w:rFonts w:hint="eastAsia"/>
          <w:lang w:val="en-US" w:eastAsia="zh-CN"/>
        </w:rPr>
      </w:pPr>
    </w:p>
    <w:p>
      <w:pPr>
        <w:pStyle w:val="5"/>
        <w:jc w:val="center"/>
        <w:rPr>
          <w:rFonts w:hint="eastAsia" w:ascii="方正小标宋_GBK" w:hAnsi="方正小标宋_GBK" w:eastAsia="方正小标宋_GBK" w:cs="方正小标宋_GBK"/>
          <w:i w:val="0"/>
          <w:color w:val="auto"/>
          <w:w w:val="90"/>
          <w:kern w:val="0"/>
          <w:sz w:val="44"/>
          <w:szCs w:val="44"/>
          <w:u w:val="none"/>
          <w:lang w:val="en-US" w:eastAsia="zh-CN" w:bidi="ar-SA"/>
        </w:rPr>
      </w:pPr>
      <w:r>
        <w:rPr>
          <w:rFonts w:hint="eastAsia" w:ascii="方正小标宋_GBK" w:hAnsi="方正小标宋_GBK" w:eastAsia="方正小标宋_GBK" w:cs="方正小标宋_GBK"/>
          <w:i w:val="0"/>
          <w:color w:val="auto"/>
          <w:w w:val="90"/>
          <w:kern w:val="0"/>
          <w:sz w:val="44"/>
          <w:szCs w:val="44"/>
          <w:u w:val="none"/>
          <w:lang w:val="en-US" w:eastAsia="zh-CN" w:bidi="ar-SA"/>
        </w:rPr>
        <w:t>龙岩市稻田综合种养奖励项目考核验收评分表</w:t>
      </w:r>
    </w:p>
    <w:p>
      <w:pPr>
        <w:rPr>
          <w:rFonts w:hint="default"/>
          <w:color w:val="auto"/>
          <w:lang w:val="en-US"/>
        </w:rPr>
      </w:pPr>
      <w:r>
        <w:rPr>
          <w:rFonts w:hint="eastAsia" w:ascii="仿宋_GB2312" w:hAnsi="仿宋_GB2312" w:eastAsia="仿宋_GB2312" w:cs="仿宋_GB2312"/>
          <w:i w:val="0"/>
          <w:color w:val="auto"/>
          <w:kern w:val="0"/>
          <w:sz w:val="28"/>
          <w:szCs w:val="28"/>
          <w:u w:val="none"/>
          <w:lang w:val="en-US" w:eastAsia="zh-CN" w:bidi="ar-SA"/>
        </w:rPr>
        <w:t>考核验收对象：                                   验收时间：</w:t>
      </w:r>
    </w:p>
    <w:tbl>
      <w:tblPr>
        <w:tblStyle w:val="12"/>
        <w:tblW w:w="9948" w:type="dxa"/>
        <w:tblInd w:w="-40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85"/>
        <w:gridCol w:w="950"/>
        <w:gridCol w:w="1000"/>
        <w:gridCol w:w="5142"/>
        <w:gridCol w:w="600"/>
        <w:gridCol w:w="641"/>
        <w:gridCol w:w="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tblHeader/>
        </w:trPr>
        <w:tc>
          <w:tcPr>
            <w:tcW w:w="9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b/>
                <w:i w:val="0"/>
                <w:color w:val="auto"/>
                <w:kern w:val="0"/>
                <w:sz w:val="24"/>
                <w:szCs w:val="24"/>
                <w:u w:val="none"/>
                <w:lang w:val="en-US" w:eastAsia="zh-CN" w:bidi="ar-SA"/>
              </w:rPr>
            </w:pPr>
            <w:r>
              <w:rPr>
                <w:rFonts w:hint="eastAsia" w:ascii="宋体" w:hAnsi="宋体" w:eastAsia="宋体" w:cs="宋体"/>
                <w:b/>
                <w:i w:val="0"/>
                <w:color w:val="auto"/>
                <w:kern w:val="0"/>
                <w:sz w:val="24"/>
                <w:szCs w:val="24"/>
                <w:u w:val="none"/>
                <w:lang w:val="en-US" w:eastAsia="zh-CN" w:bidi="ar-SA"/>
              </w:rPr>
              <w:t>考核</w:t>
            </w:r>
          </w:p>
          <w:p>
            <w:pPr>
              <w:widowControl/>
              <w:wordWrap/>
              <w:adjustRightInd/>
              <w:snapToGrid/>
              <w:spacing w:line="28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SA"/>
              </w:rPr>
              <w:t>项目</w:t>
            </w:r>
          </w:p>
        </w:tc>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b/>
                <w:i w:val="0"/>
                <w:color w:val="auto"/>
                <w:kern w:val="0"/>
                <w:sz w:val="24"/>
                <w:szCs w:val="24"/>
                <w:u w:val="none"/>
                <w:lang w:val="en-US" w:eastAsia="zh-CN" w:bidi="ar-SA"/>
              </w:rPr>
            </w:pPr>
            <w:r>
              <w:rPr>
                <w:rFonts w:hint="eastAsia" w:ascii="宋体" w:hAnsi="宋体" w:eastAsia="宋体" w:cs="宋体"/>
                <w:b/>
                <w:i w:val="0"/>
                <w:color w:val="auto"/>
                <w:kern w:val="0"/>
                <w:sz w:val="24"/>
                <w:szCs w:val="24"/>
                <w:u w:val="none"/>
                <w:lang w:val="en-US" w:eastAsia="zh-CN" w:bidi="ar-SA"/>
              </w:rPr>
              <w:t>考核</w:t>
            </w:r>
          </w:p>
          <w:p>
            <w:pPr>
              <w:widowControl/>
              <w:wordWrap/>
              <w:adjustRightInd/>
              <w:snapToGrid/>
              <w:spacing w:line="28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SA"/>
              </w:rPr>
              <w:t>内容</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SA"/>
              </w:rPr>
              <w:t>验收方式</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SA"/>
              </w:rPr>
              <w:t>考核标准</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SA"/>
              </w:rPr>
              <w:t>分值</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SA"/>
              </w:rPr>
              <w:t>得分</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b/>
                <w:i w:val="0"/>
                <w:color w:val="auto"/>
                <w:sz w:val="24"/>
                <w:szCs w:val="24"/>
                <w:u w:val="none"/>
              </w:rPr>
            </w:pPr>
            <w:r>
              <w:rPr>
                <w:rFonts w:hint="eastAsia" w:ascii="宋体" w:hAnsi="宋体" w:cs="宋体"/>
                <w:b/>
                <w:i w:val="0"/>
                <w:color w:val="auto"/>
                <w:kern w:val="0"/>
                <w:sz w:val="24"/>
                <w:szCs w:val="24"/>
                <w:u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9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一票否决项</w:t>
            </w:r>
          </w:p>
        </w:tc>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种养规模</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现场测量</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示范基地种养区面积不达标的</w:t>
            </w:r>
            <w:r>
              <w:rPr>
                <w:rFonts w:hint="eastAsia" w:ascii="宋体" w:hAnsi="宋体" w:cs="宋体"/>
                <w:i w:val="0"/>
                <w:color w:val="auto"/>
                <w:kern w:val="0"/>
                <w:sz w:val="22"/>
                <w:szCs w:val="22"/>
                <w:u w:val="none"/>
                <w:lang w:val="en-US" w:eastAsia="zh-CN" w:bidi="ar-SA"/>
              </w:rPr>
              <w:t>，稻渔</w:t>
            </w:r>
            <w:r>
              <w:rPr>
                <w:rFonts w:hint="eastAsia" w:ascii="宋体" w:hAnsi="宋体" w:eastAsia="宋体" w:cs="宋体"/>
                <w:i w:val="0"/>
                <w:color w:val="auto"/>
                <w:kern w:val="0"/>
                <w:sz w:val="22"/>
                <w:szCs w:val="22"/>
                <w:u w:val="none"/>
                <w:lang w:val="en-US" w:eastAsia="zh-CN" w:bidi="ar-SA"/>
              </w:rPr>
              <w:t>模式连片低于20亩</w:t>
            </w:r>
            <w:r>
              <w:rPr>
                <w:rFonts w:hint="eastAsia" w:ascii="宋体" w:hAnsi="宋体" w:cs="宋体"/>
                <w:i w:val="0"/>
                <w:color w:val="auto"/>
                <w:kern w:val="0"/>
                <w:sz w:val="22"/>
                <w:szCs w:val="22"/>
                <w:u w:val="none"/>
                <w:lang w:val="en-US" w:eastAsia="zh-CN" w:bidi="ar-SA"/>
              </w:rPr>
              <w:t>，</w:t>
            </w:r>
            <w:r>
              <w:rPr>
                <w:rFonts w:hint="eastAsia" w:ascii="宋体" w:hAnsi="宋体" w:eastAsia="宋体" w:cs="宋体"/>
                <w:i w:val="0"/>
                <w:color w:val="auto"/>
                <w:kern w:val="0"/>
                <w:sz w:val="22"/>
                <w:szCs w:val="22"/>
                <w:u w:val="none"/>
                <w:lang w:val="en-US" w:eastAsia="zh-CN" w:bidi="ar-SA"/>
              </w:rPr>
              <w:t>稻鸭模式相对连片低于100亩</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沟坑占比</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现场测量</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沟坑占比超过示范基地种养区面积10%的</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35"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水稻产量</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测产报告</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水稻产量低于当地水稻产量平均值</w:t>
            </w:r>
            <w:r>
              <w:rPr>
                <w:rFonts w:hint="eastAsia" w:ascii="宋体" w:hAnsi="宋体" w:cs="宋体"/>
                <w:i w:val="0"/>
                <w:color w:val="auto"/>
                <w:kern w:val="0"/>
                <w:sz w:val="22"/>
                <w:szCs w:val="22"/>
                <w:u w:val="none"/>
                <w:lang w:val="en-US" w:eastAsia="zh-CN" w:bidi="ar-SA"/>
              </w:rPr>
              <w:t>的</w:t>
            </w:r>
            <w:r>
              <w:rPr>
                <w:rFonts w:hint="eastAsia" w:ascii="宋体" w:hAnsi="宋体" w:eastAsia="宋体" w:cs="宋体"/>
                <w:i w:val="0"/>
                <w:color w:val="auto"/>
                <w:kern w:val="0"/>
                <w:sz w:val="22"/>
                <w:szCs w:val="22"/>
                <w:u w:val="none"/>
                <w:lang w:val="en-US" w:eastAsia="zh-CN" w:bidi="ar-SA"/>
              </w:rPr>
              <w:t>2/3</w:t>
            </w:r>
            <w:r>
              <w:rPr>
                <w:rFonts w:hint="eastAsia" w:ascii="宋体" w:hAnsi="宋体" w:cs="宋体"/>
                <w:i w:val="0"/>
                <w:color w:val="auto"/>
                <w:kern w:val="0"/>
                <w:sz w:val="22"/>
                <w:szCs w:val="22"/>
                <w:u w:val="none"/>
                <w:lang w:val="en-US" w:eastAsia="zh-CN" w:bidi="ar-SA"/>
              </w:rPr>
              <w:t>（</w:t>
            </w:r>
            <w:r>
              <w:rPr>
                <w:rFonts w:hint="eastAsia" w:ascii="宋体" w:hAnsi="宋体" w:eastAsia="宋体" w:cs="宋体"/>
                <w:i w:val="0"/>
                <w:color w:val="auto"/>
                <w:kern w:val="0"/>
                <w:sz w:val="22"/>
                <w:szCs w:val="22"/>
                <w:u w:val="none"/>
                <w:lang w:val="en-US" w:eastAsia="zh-CN" w:bidi="ar-SA"/>
              </w:rPr>
              <w:t>双季稻亩年产量</w:t>
            </w:r>
            <w:r>
              <w:rPr>
                <w:rFonts w:hint="eastAsia" w:ascii="宋体" w:hAnsi="宋体" w:cs="宋体"/>
                <w:i w:val="0"/>
                <w:color w:val="auto"/>
                <w:kern w:val="0"/>
                <w:sz w:val="22"/>
                <w:szCs w:val="22"/>
                <w:u w:val="none"/>
                <w:lang w:val="en-US" w:eastAsia="zh-CN" w:bidi="ar-SA"/>
              </w:rPr>
              <w:t>低于535</w:t>
            </w:r>
            <w:r>
              <w:rPr>
                <w:rFonts w:hint="eastAsia" w:ascii="宋体" w:hAnsi="宋体" w:eastAsia="宋体" w:cs="宋体"/>
                <w:i w:val="0"/>
                <w:color w:val="auto"/>
                <w:kern w:val="0"/>
                <w:sz w:val="22"/>
                <w:szCs w:val="22"/>
                <w:u w:val="none"/>
                <w:lang w:val="en-US" w:eastAsia="zh-CN" w:bidi="ar-SA"/>
              </w:rPr>
              <w:t>公斤，单季稻亩年产量</w:t>
            </w:r>
            <w:r>
              <w:rPr>
                <w:rFonts w:hint="eastAsia" w:ascii="宋体" w:hAnsi="宋体" w:cs="宋体"/>
                <w:i w:val="0"/>
                <w:color w:val="auto"/>
                <w:kern w:val="0"/>
                <w:sz w:val="22"/>
                <w:szCs w:val="22"/>
                <w:u w:val="none"/>
                <w:lang w:val="en-US" w:eastAsia="zh-CN" w:bidi="ar-SA"/>
              </w:rPr>
              <w:t>低于335</w:t>
            </w:r>
            <w:r>
              <w:rPr>
                <w:rFonts w:hint="eastAsia" w:ascii="宋体" w:hAnsi="宋体" w:eastAsia="宋体" w:cs="宋体"/>
                <w:i w:val="0"/>
                <w:color w:val="auto"/>
                <w:kern w:val="0"/>
                <w:sz w:val="22"/>
                <w:szCs w:val="22"/>
                <w:u w:val="none"/>
                <w:lang w:val="en-US" w:eastAsia="zh-CN" w:bidi="ar-SA"/>
              </w:rPr>
              <w:t>公斤，再生稻亩年产量</w:t>
            </w:r>
            <w:r>
              <w:rPr>
                <w:rFonts w:hint="eastAsia" w:ascii="宋体" w:hAnsi="宋体" w:cs="宋体"/>
                <w:i w:val="0"/>
                <w:color w:val="auto"/>
                <w:kern w:val="0"/>
                <w:sz w:val="22"/>
                <w:szCs w:val="22"/>
                <w:u w:val="none"/>
                <w:lang w:val="en-US" w:eastAsia="zh-CN" w:bidi="ar-SA"/>
              </w:rPr>
              <w:t>低于467</w:t>
            </w:r>
            <w:r>
              <w:rPr>
                <w:rFonts w:hint="eastAsia" w:ascii="宋体" w:hAnsi="宋体" w:eastAsia="宋体" w:cs="宋体"/>
                <w:i w:val="0"/>
                <w:color w:val="auto"/>
                <w:kern w:val="0"/>
                <w:sz w:val="22"/>
                <w:szCs w:val="22"/>
                <w:u w:val="none"/>
                <w:lang w:val="en-US" w:eastAsia="zh-CN" w:bidi="ar-SA"/>
              </w:rPr>
              <w:t>公斤</w:t>
            </w:r>
            <w:r>
              <w:rPr>
                <w:rFonts w:hint="eastAsia" w:ascii="宋体" w:hAnsi="宋体" w:cs="宋体"/>
                <w:i w:val="0"/>
                <w:color w:val="auto"/>
                <w:kern w:val="0"/>
                <w:sz w:val="22"/>
                <w:szCs w:val="22"/>
                <w:u w:val="none"/>
                <w:lang w:val="en-US" w:eastAsia="zh-CN" w:bidi="ar-SA"/>
              </w:rPr>
              <w:t>）</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产品安全</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查阅内业资料、现场察看</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cs="宋体"/>
                <w:i w:val="0"/>
                <w:color w:val="auto"/>
                <w:kern w:val="0"/>
                <w:sz w:val="22"/>
                <w:szCs w:val="22"/>
                <w:u w:val="none"/>
                <w:lang w:val="en-US" w:eastAsia="zh-CN" w:bidi="ar-SA"/>
              </w:rPr>
              <w:t>被查出</w:t>
            </w:r>
            <w:r>
              <w:rPr>
                <w:rFonts w:hint="eastAsia" w:ascii="宋体" w:hAnsi="宋体" w:eastAsia="宋体" w:cs="宋体"/>
                <w:i w:val="0"/>
                <w:color w:val="auto"/>
                <w:kern w:val="0"/>
                <w:sz w:val="22"/>
                <w:szCs w:val="22"/>
                <w:u w:val="none"/>
                <w:lang w:val="en-US" w:eastAsia="zh-CN" w:bidi="ar-SA"/>
              </w:rPr>
              <w:t>存在使用禁用药情形</w:t>
            </w:r>
            <w:r>
              <w:rPr>
                <w:rFonts w:hint="eastAsia" w:ascii="宋体" w:hAnsi="宋体" w:cs="宋体"/>
                <w:i w:val="0"/>
                <w:color w:val="auto"/>
                <w:kern w:val="0"/>
                <w:sz w:val="22"/>
                <w:szCs w:val="22"/>
                <w:u w:val="none"/>
                <w:lang w:val="en-US" w:eastAsia="zh-CN" w:bidi="ar-SA"/>
              </w:rPr>
              <w:t>或</w:t>
            </w:r>
            <w:r>
              <w:rPr>
                <w:rFonts w:hint="eastAsia" w:ascii="宋体" w:hAnsi="宋体" w:eastAsia="宋体" w:cs="宋体"/>
                <w:i w:val="0"/>
                <w:color w:val="auto"/>
                <w:kern w:val="0"/>
                <w:sz w:val="22"/>
                <w:szCs w:val="22"/>
                <w:u w:val="none"/>
                <w:lang w:val="en-US" w:eastAsia="zh-CN" w:bidi="ar-SA"/>
              </w:rPr>
              <w:t>药残检测不达标被有关部门通报的</w:t>
            </w:r>
            <w:r>
              <w:rPr>
                <w:rFonts w:hint="eastAsia" w:ascii="宋体" w:hAnsi="宋体" w:cs="宋体"/>
                <w:i w:val="0"/>
                <w:color w:val="auto"/>
                <w:kern w:val="0"/>
                <w:sz w:val="22"/>
                <w:szCs w:val="22"/>
                <w:u w:val="none"/>
                <w:lang w:val="en-US" w:eastAsia="zh-CN" w:bidi="ar-SA"/>
              </w:rPr>
              <w:t>；养殖虎纹蛙无人工繁育许可证（泰国虎纹蛙无引种证明）</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生态环保</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调查审核、查阅测产报告</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亩投放</w:t>
            </w:r>
            <w:r>
              <w:rPr>
                <w:rFonts w:hint="eastAsia" w:ascii="宋体" w:hAnsi="宋体" w:cs="宋体"/>
                <w:i w:val="0"/>
                <w:color w:val="auto"/>
                <w:kern w:val="0"/>
                <w:sz w:val="22"/>
                <w:szCs w:val="22"/>
                <w:u w:val="none"/>
                <w:lang w:val="en-US" w:eastAsia="zh-CN" w:bidi="ar-SA"/>
              </w:rPr>
              <w:t>虎纹</w:t>
            </w:r>
            <w:r>
              <w:rPr>
                <w:rFonts w:hint="eastAsia" w:ascii="宋体" w:hAnsi="宋体" w:eastAsia="宋体" w:cs="宋体"/>
                <w:i w:val="0"/>
                <w:color w:val="auto"/>
                <w:kern w:val="0"/>
                <w:sz w:val="22"/>
                <w:szCs w:val="22"/>
                <w:u w:val="none"/>
                <w:lang w:val="en-US" w:eastAsia="zh-CN" w:bidi="ar-SA"/>
              </w:rPr>
              <w:t>蛙苗超过6000只</w:t>
            </w:r>
            <w:r>
              <w:rPr>
                <w:rFonts w:hint="eastAsia" w:ascii="宋体" w:hAnsi="宋体" w:cs="宋体"/>
                <w:i w:val="0"/>
                <w:color w:val="auto"/>
                <w:kern w:val="0"/>
                <w:sz w:val="22"/>
                <w:szCs w:val="22"/>
                <w:u w:val="none"/>
                <w:lang w:val="en-US" w:eastAsia="zh-CN" w:bidi="ar-SA"/>
              </w:rPr>
              <w:t>以上或亩投喂饲料超过0.5吨；</w:t>
            </w:r>
            <w:r>
              <w:rPr>
                <w:rFonts w:hint="eastAsia" w:ascii="宋体" w:hAnsi="宋体" w:eastAsia="宋体" w:cs="宋体"/>
                <w:i w:val="0"/>
                <w:color w:val="auto"/>
                <w:kern w:val="0"/>
                <w:sz w:val="22"/>
                <w:szCs w:val="22"/>
                <w:u w:val="none"/>
                <w:lang w:val="en-US" w:eastAsia="zh-CN" w:bidi="ar-SA"/>
              </w:rPr>
              <w:t>示范基地水体排放不达标，被环保部门查处通报的</w:t>
            </w:r>
            <w:r>
              <w:rPr>
                <w:rFonts w:hint="eastAsia" w:ascii="宋体" w:hAnsi="宋体" w:cs="宋体"/>
                <w:i w:val="0"/>
                <w:color w:val="auto"/>
                <w:kern w:val="0"/>
                <w:sz w:val="22"/>
                <w:szCs w:val="22"/>
                <w:u w:val="none"/>
                <w:lang w:val="en-US" w:eastAsia="zh-CN" w:bidi="ar-SA"/>
              </w:rPr>
              <w:t>。</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4" w:hRule="atLeast"/>
        </w:trPr>
        <w:tc>
          <w:tcPr>
            <w:tcW w:w="9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pacing w:val="-6"/>
                <w:kern w:val="0"/>
                <w:sz w:val="22"/>
                <w:szCs w:val="22"/>
                <w:u w:val="none"/>
                <w:lang w:val="en-US" w:eastAsia="zh-CN" w:bidi="ar-SA"/>
              </w:rPr>
            </w:pPr>
            <w:r>
              <w:rPr>
                <w:rFonts w:hint="eastAsia" w:ascii="宋体" w:hAnsi="宋体" w:cs="宋体"/>
                <w:i w:val="0"/>
                <w:color w:val="auto"/>
                <w:spacing w:val="-6"/>
                <w:kern w:val="0"/>
                <w:sz w:val="22"/>
                <w:szCs w:val="22"/>
                <w:u w:val="none"/>
                <w:lang w:val="en-US" w:eastAsia="zh-CN" w:bidi="ar-SA"/>
              </w:rPr>
              <w:t>耕地保护设置</w:t>
            </w:r>
            <w:r>
              <w:rPr>
                <w:rFonts w:hint="eastAsia" w:ascii="宋体" w:hAnsi="宋体" w:eastAsia="宋体" w:cs="宋体"/>
                <w:i w:val="0"/>
                <w:color w:val="auto"/>
                <w:spacing w:val="-6"/>
                <w:kern w:val="0"/>
                <w:sz w:val="22"/>
                <w:szCs w:val="22"/>
                <w:u w:val="none"/>
                <w:lang w:val="en-US" w:eastAsia="zh-CN" w:bidi="ar-SA"/>
              </w:rPr>
              <w:t>分项</w:t>
            </w:r>
            <w:r>
              <w:rPr>
                <w:rFonts w:hint="eastAsia" w:ascii="宋体" w:hAnsi="宋体" w:eastAsia="宋体" w:cs="宋体"/>
                <w:i w:val="0"/>
                <w:color w:val="auto"/>
                <w:spacing w:val="-6"/>
                <w:kern w:val="0"/>
                <w:sz w:val="20"/>
                <w:szCs w:val="20"/>
                <w:u w:val="none"/>
                <w:lang w:val="en-US" w:eastAsia="zh-CN" w:bidi="ar-SA"/>
              </w:rPr>
              <w:t>（</w:t>
            </w:r>
            <w:r>
              <w:rPr>
                <w:rFonts w:hint="eastAsia" w:ascii="宋体" w:hAnsi="宋体" w:cs="宋体"/>
                <w:i w:val="0"/>
                <w:color w:val="auto"/>
                <w:spacing w:val="-6"/>
                <w:kern w:val="0"/>
                <w:sz w:val="20"/>
                <w:szCs w:val="20"/>
                <w:u w:val="none"/>
                <w:lang w:val="en-US" w:eastAsia="zh-CN" w:bidi="ar-SA"/>
              </w:rPr>
              <w:t>20</w:t>
            </w:r>
            <w:r>
              <w:rPr>
                <w:rFonts w:hint="eastAsia" w:ascii="宋体" w:hAnsi="宋体" w:eastAsia="宋体" w:cs="宋体"/>
                <w:i w:val="0"/>
                <w:color w:val="auto"/>
                <w:spacing w:val="-6"/>
                <w:kern w:val="0"/>
                <w:sz w:val="20"/>
                <w:szCs w:val="20"/>
                <w:u w:val="none"/>
                <w:lang w:val="en-US" w:eastAsia="zh-CN" w:bidi="ar-SA"/>
              </w:rPr>
              <w:t>分）</w:t>
            </w:r>
          </w:p>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pacing w:val="-6"/>
                <w:kern w:val="0"/>
                <w:sz w:val="22"/>
                <w:szCs w:val="22"/>
                <w:u w:val="none"/>
                <w:lang w:val="en-US" w:eastAsia="zh-CN" w:bidi="ar-SA"/>
              </w:rPr>
              <w:t>自然资源局</w:t>
            </w:r>
            <w:r>
              <w:rPr>
                <w:rFonts w:hint="eastAsia" w:ascii="宋体" w:hAnsi="宋体" w:cs="宋体"/>
                <w:i w:val="0"/>
                <w:color w:val="auto"/>
                <w:spacing w:val="-6"/>
                <w:kern w:val="0"/>
                <w:sz w:val="22"/>
                <w:szCs w:val="22"/>
                <w:u w:val="none"/>
                <w:lang w:val="en-US" w:eastAsia="zh-CN" w:bidi="ar-SA"/>
              </w:rPr>
              <w:t>、农业农村局</w:t>
            </w:r>
            <w:r>
              <w:rPr>
                <w:rFonts w:hint="eastAsia" w:ascii="宋体" w:hAnsi="宋体" w:eastAsia="宋体" w:cs="宋体"/>
                <w:i w:val="0"/>
                <w:color w:val="auto"/>
                <w:spacing w:val="-6"/>
                <w:kern w:val="0"/>
                <w:sz w:val="22"/>
                <w:szCs w:val="22"/>
                <w:u w:val="none"/>
                <w:lang w:val="en-US" w:eastAsia="zh-CN" w:bidi="ar-SA"/>
              </w:rPr>
              <w:t>评分</w:t>
            </w:r>
          </w:p>
        </w:tc>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设施农业用地达标</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现场测量</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default" w:ascii="宋体" w:hAnsi="宋体" w:eastAsia="宋体" w:cs="宋体"/>
                <w:i w:val="0"/>
                <w:color w:val="auto"/>
                <w:sz w:val="22"/>
                <w:szCs w:val="22"/>
                <w:u w:val="none"/>
                <w:lang w:val="en-US"/>
              </w:rPr>
            </w:pPr>
            <w:r>
              <w:rPr>
                <w:rFonts w:hint="eastAsia" w:ascii="宋体" w:hAnsi="宋体" w:cs="宋体"/>
                <w:i w:val="0"/>
                <w:color w:val="auto"/>
                <w:kern w:val="0"/>
                <w:sz w:val="22"/>
                <w:szCs w:val="22"/>
                <w:u w:val="none"/>
                <w:lang w:val="en-US" w:eastAsia="zh-CN" w:bidi="ar-SA"/>
              </w:rPr>
              <w:t>养殖面积达标，项目设施农业用地备案符合设施农业用地管理规定，得基础分10分，稻渔</w:t>
            </w:r>
            <w:r>
              <w:rPr>
                <w:rFonts w:hint="eastAsia" w:ascii="宋体" w:hAnsi="宋体" w:eastAsia="宋体" w:cs="宋体"/>
                <w:i w:val="0"/>
                <w:color w:val="auto"/>
                <w:kern w:val="0"/>
                <w:sz w:val="22"/>
                <w:szCs w:val="22"/>
                <w:u w:val="none"/>
                <w:lang w:val="en-US" w:eastAsia="zh-CN" w:bidi="ar-SA"/>
              </w:rPr>
              <w:t>模式每增加</w:t>
            </w:r>
            <w:r>
              <w:rPr>
                <w:rFonts w:hint="eastAsia" w:ascii="宋体" w:hAnsi="宋体" w:cs="宋体"/>
                <w:i w:val="0"/>
                <w:color w:val="auto"/>
                <w:kern w:val="0"/>
                <w:sz w:val="22"/>
                <w:szCs w:val="22"/>
                <w:u w:val="none"/>
                <w:lang w:val="en-US" w:eastAsia="zh-CN" w:bidi="ar-SA"/>
              </w:rPr>
              <w:t>5</w:t>
            </w:r>
            <w:r>
              <w:rPr>
                <w:rFonts w:hint="eastAsia" w:ascii="宋体" w:hAnsi="宋体" w:eastAsia="宋体" w:cs="宋体"/>
                <w:i w:val="0"/>
                <w:color w:val="auto"/>
                <w:kern w:val="0"/>
                <w:sz w:val="22"/>
                <w:szCs w:val="22"/>
                <w:u w:val="none"/>
                <w:lang w:val="en-US" w:eastAsia="zh-CN" w:bidi="ar-SA"/>
              </w:rPr>
              <w:t>亩加</w:t>
            </w:r>
            <w:r>
              <w:rPr>
                <w:rFonts w:hint="eastAsia" w:ascii="宋体" w:hAnsi="宋体" w:cs="宋体"/>
                <w:i w:val="0"/>
                <w:color w:val="auto"/>
                <w:kern w:val="0"/>
                <w:sz w:val="22"/>
                <w:szCs w:val="22"/>
                <w:u w:val="none"/>
                <w:lang w:val="en-US" w:eastAsia="zh-CN" w:bidi="ar-SA"/>
              </w:rPr>
              <w:t>2</w:t>
            </w:r>
            <w:r>
              <w:rPr>
                <w:rFonts w:hint="eastAsia" w:ascii="宋体" w:hAnsi="宋体" w:eastAsia="宋体" w:cs="宋体"/>
                <w:i w:val="0"/>
                <w:color w:val="auto"/>
                <w:kern w:val="0"/>
                <w:sz w:val="22"/>
                <w:szCs w:val="22"/>
                <w:u w:val="none"/>
                <w:lang w:val="en-US" w:eastAsia="zh-CN" w:bidi="ar-SA"/>
              </w:rPr>
              <w:t>分</w:t>
            </w:r>
            <w:r>
              <w:rPr>
                <w:rFonts w:hint="eastAsia" w:ascii="宋体" w:hAnsi="宋体" w:cs="宋体"/>
                <w:i w:val="0"/>
                <w:color w:val="auto"/>
                <w:kern w:val="0"/>
                <w:sz w:val="22"/>
                <w:szCs w:val="22"/>
                <w:u w:val="none"/>
                <w:lang w:val="en-US" w:eastAsia="zh-CN" w:bidi="ar-SA"/>
              </w:rPr>
              <w:t>（</w:t>
            </w:r>
            <w:r>
              <w:rPr>
                <w:rFonts w:hint="eastAsia" w:ascii="宋体" w:hAnsi="宋体" w:eastAsia="宋体" w:cs="宋体"/>
                <w:i w:val="0"/>
                <w:color w:val="auto"/>
                <w:kern w:val="0"/>
                <w:sz w:val="22"/>
                <w:szCs w:val="22"/>
                <w:u w:val="none"/>
                <w:lang w:val="en-US" w:eastAsia="zh-CN" w:bidi="ar-SA"/>
              </w:rPr>
              <w:t>稻鸭模式面积每增加</w:t>
            </w:r>
            <w:r>
              <w:rPr>
                <w:rFonts w:hint="eastAsia" w:ascii="宋体" w:hAnsi="宋体" w:cs="宋体"/>
                <w:i w:val="0"/>
                <w:color w:val="auto"/>
                <w:kern w:val="0"/>
                <w:sz w:val="22"/>
                <w:szCs w:val="22"/>
                <w:u w:val="none"/>
                <w:lang w:val="en-US" w:eastAsia="zh-CN" w:bidi="ar-SA"/>
              </w:rPr>
              <w:t>50</w:t>
            </w:r>
            <w:r>
              <w:rPr>
                <w:rFonts w:hint="eastAsia" w:ascii="宋体" w:hAnsi="宋体" w:eastAsia="宋体" w:cs="宋体"/>
                <w:i w:val="0"/>
                <w:color w:val="auto"/>
                <w:kern w:val="0"/>
                <w:sz w:val="22"/>
                <w:szCs w:val="22"/>
                <w:u w:val="none"/>
                <w:lang w:val="en-US" w:eastAsia="zh-CN" w:bidi="ar-SA"/>
              </w:rPr>
              <w:t>亩加</w:t>
            </w:r>
            <w:r>
              <w:rPr>
                <w:rFonts w:hint="eastAsia" w:ascii="宋体" w:hAnsi="宋体" w:cs="宋体"/>
                <w:i w:val="0"/>
                <w:color w:val="auto"/>
                <w:kern w:val="0"/>
                <w:sz w:val="22"/>
                <w:szCs w:val="22"/>
                <w:u w:val="none"/>
                <w:lang w:val="en-US" w:eastAsia="zh-CN" w:bidi="ar-SA"/>
              </w:rPr>
              <w:t>2</w:t>
            </w:r>
            <w:r>
              <w:rPr>
                <w:rFonts w:hint="eastAsia" w:ascii="宋体" w:hAnsi="宋体" w:eastAsia="宋体" w:cs="宋体"/>
                <w:i w:val="0"/>
                <w:color w:val="auto"/>
                <w:kern w:val="0"/>
                <w:sz w:val="22"/>
                <w:szCs w:val="22"/>
                <w:u w:val="none"/>
                <w:lang w:val="en-US" w:eastAsia="zh-CN" w:bidi="ar-SA"/>
              </w:rPr>
              <w:t>分</w:t>
            </w:r>
            <w:r>
              <w:rPr>
                <w:rFonts w:hint="eastAsia" w:ascii="宋体" w:hAnsi="宋体" w:cs="宋体"/>
                <w:i w:val="0"/>
                <w:color w:val="auto"/>
                <w:kern w:val="0"/>
                <w:sz w:val="22"/>
                <w:szCs w:val="22"/>
                <w:u w:val="none"/>
                <w:lang w:val="en-US" w:eastAsia="zh-CN" w:bidi="ar-SA"/>
              </w:rPr>
              <w:t>），</w:t>
            </w:r>
            <w:r>
              <w:rPr>
                <w:rFonts w:hint="eastAsia" w:ascii="宋体" w:hAnsi="宋体" w:eastAsia="宋体" w:cs="宋体"/>
                <w:i w:val="0"/>
                <w:color w:val="auto"/>
                <w:kern w:val="0"/>
                <w:sz w:val="22"/>
                <w:szCs w:val="22"/>
                <w:u w:val="none"/>
                <w:lang w:val="en-US" w:eastAsia="zh-CN" w:bidi="ar-SA"/>
              </w:rPr>
              <w:t>封顶</w:t>
            </w:r>
            <w:r>
              <w:rPr>
                <w:rFonts w:hint="eastAsia" w:ascii="宋体" w:hAnsi="宋体" w:cs="宋体"/>
                <w:i w:val="0"/>
                <w:color w:val="auto"/>
                <w:kern w:val="0"/>
                <w:sz w:val="22"/>
                <w:szCs w:val="22"/>
                <w:u w:val="none"/>
                <w:lang w:val="en-US" w:eastAsia="zh-CN" w:bidi="ar-SA"/>
              </w:rPr>
              <w:t>20</w:t>
            </w:r>
            <w:r>
              <w:rPr>
                <w:rFonts w:hint="eastAsia" w:ascii="宋体" w:hAnsi="宋体" w:eastAsia="宋体" w:cs="宋体"/>
                <w:i w:val="0"/>
                <w:color w:val="auto"/>
                <w:kern w:val="0"/>
                <w:sz w:val="22"/>
                <w:szCs w:val="22"/>
                <w:u w:val="none"/>
                <w:lang w:val="en-US" w:eastAsia="zh-CN" w:bidi="ar-SA"/>
              </w:rPr>
              <w:t>分。</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20</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9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eastAsia="宋体" w:cs="宋体"/>
                <w:i w:val="0"/>
                <w:color w:val="auto"/>
                <w:kern w:val="0"/>
                <w:sz w:val="22"/>
                <w:szCs w:val="22"/>
                <w:u w:val="none"/>
                <w:lang w:val="en-US" w:eastAsia="zh-CN" w:bidi="ar-SA"/>
              </w:rPr>
              <w:t>水稻种植</w:t>
            </w:r>
          </w:p>
          <w:p>
            <w:pPr>
              <w:widowControl/>
              <w:wordWrap/>
              <w:adjustRightInd/>
              <w:snapToGrid/>
              <w:spacing w:line="280" w:lineRule="exact"/>
              <w:jc w:val="center"/>
              <w:textAlignment w:val="center"/>
              <w:rPr>
                <w:rFonts w:hint="eastAsia" w:ascii="宋体" w:hAnsi="宋体" w:eastAsia="宋体" w:cs="宋体"/>
                <w:i w:val="0"/>
                <w:color w:val="auto"/>
                <w:kern w:val="0"/>
                <w:sz w:val="20"/>
                <w:szCs w:val="20"/>
                <w:u w:val="none"/>
                <w:lang w:val="en-US" w:eastAsia="zh-CN" w:bidi="ar-SA"/>
              </w:rPr>
            </w:pPr>
            <w:r>
              <w:rPr>
                <w:rFonts w:hint="eastAsia" w:ascii="宋体" w:hAnsi="宋体" w:cs="宋体"/>
                <w:i w:val="0"/>
                <w:color w:val="auto"/>
                <w:kern w:val="0"/>
                <w:sz w:val="20"/>
                <w:szCs w:val="20"/>
                <w:u w:val="none"/>
                <w:lang w:val="en-US" w:eastAsia="zh-CN" w:bidi="ar-SA"/>
              </w:rPr>
              <w:t>（</w:t>
            </w:r>
            <w:r>
              <w:rPr>
                <w:rFonts w:hint="eastAsia" w:ascii="宋体" w:hAnsi="宋体" w:eastAsia="宋体" w:cs="宋体"/>
                <w:i w:val="0"/>
                <w:color w:val="auto"/>
                <w:kern w:val="0"/>
                <w:sz w:val="20"/>
                <w:szCs w:val="20"/>
                <w:u w:val="none"/>
                <w:lang w:val="en-US" w:eastAsia="zh-CN" w:bidi="ar-SA"/>
              </w:rPr>
              <w:t>30分）</w:t>
            </w:r>
          </w:p>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农技站评分</w:t>
            </w:r>
          </w:p>
        </w:tc>
        <w:tc>
          <w:tcPr>
            <w:tcW w:w="9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afterAutospacing="0"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水稻产量与质量</w:t>
            </w:r>
          </w:p>
        </w:tc>
        <w:tc>
          <w:tcPr>
            <w:tcW w:w="1000"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现场测产、调查审核</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种植双季稻亩年产量达800公斤以上，单季稻亩年产量达500公斤以上，再生稻亩年产量达700公斤以上，得5分；达到上述产量95%以上的，得4分，90%以上的，得3分，90%以下不得分。</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5</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1000" w:type="dxa"/>
            <w:vMerge w:val="continue"/>
            <w:tcBorders>
              <w:left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发展双季稻，示范基地种植双季稻的加5分，单季稻培育再生稻的加3分。</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5</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2"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1000"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种植的水稻品种米质达二级米以上的（依据品种审定或引种备案公告结果），得5分，三级米以上的，得3分，三级米以下的不得分。</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5</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种植技术</w:t>
            </w:r>
          </w:p>
        </w:tc>
        <w:tc>
          <w:tcPr>
            <w:tcW w:w="100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水稻种植技术提升</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结合当地实际情况，</w:t>
            </w:r>
            <w:r>
              <w:rPr>
                <w:rFonts w:hint="eastAsia" w:ascii="宋体" w:hAnsi="宋体" w:eastAsia="宋体" w:cs="宋体"/>
                <w:i w:val="0"/>
                <w:color w:val="auto"/>
                <w:kern w:val="0"/>
                <w:sz w:val="22"/>
                <w:szCs w:val="22"/>
                <w:u w:val="none"/>
                <w:lang w:val="en-US" w:eastAsia="zh-CN" w:bidi="ar-SA"/>
              </w:rPr>
              <w:t>农药使量减少30%以上，得5分</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5</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5"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10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结合当地实际情况，</w:t>
            </w:r>
            <w:r>
              <w:rPr>
                <w:rFonts w:hint="eastAsia" w:ascii="宋体" w:hAnsi="宋体" w:eastAsia="宋体" w:cs="宋体"/>
                <w:i w:val="0"/>
                <w:color w:val="auto"/>
                <w:kern w:val="0"/>
                <w:sz w:val="22"/>
                <w:szCs w:val="22"/>
                <w:u w:val="none"/>
                <w:lang w:val="en-US" w:eastAsia="zh-CN" w:bidi="ar-SA"/>
              </w:rPr>
              <w:t>化肥用量减少30%以上，得5分</w:t>
            </w:r>
            <w:r>
              <w:rPr>
                <w:rFonts w:hint="eastAsia" w:ascii="宋体" w:hAnsi="宋体" w:cs="宋体"/>
                <w:i w:val="0"/>
                <w:color w:val="auto"/>
                <w:kern w:val="0"/>
                <w:sz w:val="22"/>
                <w:szCs w:val="22"/>
                <w:u w:val="none"/>
                <w:lang w:val="en-US" w:eastAsia="zh-CN" w:bidi="ar-SA"/>
              </w:rPr>
              <w:t>。</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5</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10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有采用绿色防控手段，示范基地有采用安装杀虫灯、悬挂黄板、性诱剂、种植诱虫植物、释放寄生蜂、喷施生物农药等绿色防控技术的，每项加</w:t>
            </w:r>
            <w:r>
              <w:rPr>
                <w:rFonts w:hint="eastAsia" w:ascii="宋体" w:hAnsi="宋体" w:cs="宋体"/>
                <w:i w:val="0"/>
                <w:color w:val="auto"/>
                <w:kern w:val="0"/>
                <w:sz w:val="22"/>
                <w:szCs w:val="22"/>
                <w:u w:val="none"/>
                <w:lang w:val="en-US" w:eastAsia="zh-CN" w:bidi="ar-SA"/>
              </w:rPr>
              <w:t>1</w:t>
            </w:r>
            <w:r>
              <w:rPr>
                <w:rFonts w:hint="eastAsia" w:ascii="宋体" w:hAnsi="宋体" w:eastAsia="宋体" w:cs="宋体"/>
                <w:i w:val="0"/>
                <w:color w:val="auto"/>
                <w:kern w:val="0"/>
                <w:sz w:val="22"/>
                <w:szCs w:val="22"/>
                <w:u w:val="none"/>
                <w:lang w:val="en-US" w:eastAsia="zh-CN" w:bidi="ar-SA"/>
              </w:rPr>
              <w:t>分，封顶</w:t>
            </w:r>
            <w:r>
              <w:rPr>
                <w:rFonts w:hint="eastAsia" w:ascii="宋体" w:hAnsi="宋体" w:cs="宋体"/>
                <w:i w:val="0"/>
                <w:color w:val="auto"/>
                <w:kern w:val="0"/>
                <w:sz w:val="22"/>
                <w:szCs w:val="22"/>
                <w:u w:val="none"/>
                <w:lang w:val="en-US" w:eastAsia="zh-CN" w:bidi="ar-SA"/>
              </w:rPr>
              <w:t>5</w:t>
            </w:r>
            <w:r>
              <w:rPr>
                <w:rFonts w:hint="eastAsia" w:ascii="宋体" w:hAnsi="宋体" w:eastAsia="宋体" w:cs="宋体"/>
                <w:i w:val="0"/>
                <w:color w:val="auto"/>
                <w:kern w:val="0"/>
                <w:sz w:val="22"/>
                <w:szCs w:val="22"/>
                <w:u w:val="none"/>
                <w:lang w:val="en-US" w:eastAsia="zh-CN" w:bidi="ar-SA"/>
              </w:rPr>
              <w:t>分。</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5</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3" w:hRule="atLeast"/>
        </w:trPr>
        <w:tc>
          <w:tcPr>
            <w:tcW w:w="9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eastAsia="宋体" w:cs="宋体"/>
                <w:i w:val="0"/>
                <w:color w:val="auto"/>
                <w:kern w:val="0"/>
                <w:sz w:val="22"/>
                <w:szCs w:val="22"/>
                <w:u w:val="none"/>
                <w:lang w:val="en-US" w:eastAsia="zh-CN" w:bidi="ar-SA"/>
              </w:rPr>
              <w:t>养殖部分</w:t>
            </w:r>
          </w:p>
          <w:p>
            <w:pPr>
              <w:widowControl/>
              <w:wordWrap/>
              <w:adjustRightInd/>
              <w:snapToGrid/>
              <w:spacing w:line="280" w:lineRule="exact"/>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eastAsia="宋体" w:cs="宋体"/>
                <w:i w:val="0"/>
                <w:color w:val="auto"/>
                <w:kern w:val="0"/>
                <w:sz w:val="22"/>
                <w:szCs w:val="22"/>
                <w:u w:val="none"/>
                <w:lang w:val="en-US" w:eastAsia="zh-CN" w:bidi="ar-SA"/>
              </w:rPr>
              <w:t>（</w:t>
            </w:r>
            <w:r>
              <w:rPr>
                <w:rFonts w:hint="eastAsia" w:ascii="宋体" w:hAnsi="宋体" w:cs="宋体"/>
                <w:i w:val="0"/>
                <w:color w:val="auto"/>
                <w:kern w:val="0"/>
                <w:sz w:val="22"/>
                <w:szCs w:val="22"/>
                <w:u w:val="none"/>
                <w:lang w:val="en-US" w:eastAsia="zh-CN" w:bidi="ar-SA"/>
              </w:rPr>
              <w:t>30</w:t>
            </w:r>
            <w:r>
              <w:rPr>
                <w:rFonts w:hint="eastAsia" w:ascii="宋体" w:hAnsi="宋体" w:eastAsia="宋体" w:cs="宋体"/>
                <w:i w:val="0"/>
                <w:color w:val="auto"/>
                <w:kern w:val="0"/>
                <w:sz w:val="22"/>
                <w:szCs w:val="22"/>
                <w:u w:val="none"/>
                <w:lang w:val="en-US" w:eastAsia="zh-CN" w:bidi="ar-SA"/>
              </w:rPr>
              <w:t>）</w:t>
            </w:r>
          </w:p>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水技站</w:t>
            </w:r>
            <w:r>
              <w:rPr>
                <w:rFonts w:hint="eastAsia" w:ascii="宋体" w:hAnsi="宋体" w:cs="宋体"/>
                <w:i w:val="0"/>
                <w:color w:val="auto"/>
                <w:kern w:val="0"/>
                <w:sz w:val="22"/>
                <w:szCs w:val="22"/>
                <w:u w:val="none"/>
                <w:lang w:val="en-US" w:eastAsia="zh-CN" w:bidi="ar-SA"/>
              </w:rPr>
              <w:t>/畜牧站</w:t>
            </w:r>
            <w:r>
              <w:rPr>
                <w:rFonts w:hint="eastAsia" w:ascii="宋体" w:hAnsi="宋体" w:eastAsia="宋体" w:cs="宋体"/>
                <w:i w:val="0"/>
                <w:color w:val="auto"/>
                <w:kern w:val="0"/>
                <w:sz w:val="22"/>
                <w:szCs w:val="22"/>
                <w:u w:val="none"/>
                <w:lang w:val="en-US" w:eastAsia="zh-CN" w:bidi="ar-SA"/>
              </w:rPr>
              <w:t>评分</w:t>
            </w:r>
          </w:p>
        </w:tc>
        <w:tc>
          <w:tcPr>
            <w:tcW w:w="9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养殖</w:t>
            </w:r>
            <w:r>
              <w:rPr>
                <w:rFonts w:hint="eastAsia" w:ascii="宋体" w:hAnsi="宋体" w:eastAsia="宋体" w:cs="宋体"/>
                <w:i w:val="0"/>
                <w:color w:val="auto"/>
                <w:kern w:val="0"/>
                <w:sz w:val="22"/>
                <w:szCs w:val="22"/>
                <w:u w:val="none"/>
                <w:lang w:val="en-US" w:eastAsia="zh-CN" w:bidi="ar-SA"/>
              </w:rPr>
              <w:t>产量与质量</w:t>
            </w:r>
          </w:p>
        </w:tc>
        <w:tc>
          <w:tcPr>
            <w:tcW w:w="100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养殖密度与产量</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种养区养殖密度参照《试点推进稻田综合种养发展指导意见》附件2推荐标准执行的，得</w:t>
            </w:r>
            <w:r>
              <w:rPr>
                <w:rFonts w:hint="eastAsia" w:ascii="宋体" w:hAnsi="宋体" w:cs="宋体"/>
                <w:i w:val="0"/>
                <w:color w:val="auto"/>
                <w:kern w:val="0"/>
                <w:sz w:val="22"/>
                <w:szCs w:val="22"/>
                <w:u w:val="none"/>
                <w:lang w:val="en-US" w:eastAsia="zh-CN" w:bidi="ar-SA"/>
              </w:rPr>
              <w:t>5</w:t>
            </w:r>
            <w:r>
              <w:rPr>
                <w:rFonts w:hint="eastAsia" w:ascii="宋体" w:hAnsi="宋体" w:eastAsia="宋体" w:cs="宋体"/>
                <w:i w:val="0"/>
                <w:color w:val="auto"/>
                <w:kern w:val="0"/>
                <w:sz w:val="22"/>
                <w:szCs w:val="22"/>
                <w:u w:val="none"/>
                <w:lang w:val="en-US" w:eastAsia="zh-CN" w:bidi="ar-SA"/>
              </w:rPr>
              <w:t>分，养殖密度高于推荐标准</w:t>
            </w:r>
            <w:r>
              <w:rPr>
                <w:rFonts w:hint="eastAsia" w:ascii="宋体" w:hAnsi="宋体" w:cs="宋体"/>
                <w:i w:val="0"/>
                <w:color w:val="auto"/>
                <w:kern w:val="0"/>
                <w:sz w:val="22"/>
                <w:szCs w:val="22"/>
                <w:u w:val="none"/>
                <w:lang w:val="en-US" w:eastAsia="zh-CN" w:bidi="ar-SA"/>
              </w:rPr>
              <w:t>1</w:t>
            </w:r>
            <w:r>
              <w:rPr>
                <w:rFonts w:hint="eastAsia" w:ascii="宋体" w:hAnsi="宋体" w:eastAsia="宋体" w:cs="宋体"/>
                <w:i w:val="0"/>
                <w:color w:val="auto"/>
                <w:kern w:val="0"/>
                <w:sz w:val="22"/>
                <w:szCs w:val="22"/>
                <w:u w:val="none"/>
                <w:lang w:val="en-US" w:eastAsia="zh-CN" w:bidi="ar-SA"/>
              </w:rPr>
              <w:t>倍以上的，不得分（蛙类一票否决）</w:t>
            </w:r>
            <w:r>
              <w:rPr>
                <w:rFonts w:hint="eastAsia" w:ascii="宋体" w:hAnsi="宋体" w:cs="宋体"/>
                <w:i w:val="0"/>
                <w:color w:val="auto"/>
                <w:kern w:val="0"/>
                <w:sz w:val="22"/>
                <w:szCs w:val="22"/>
                <w:u w:val="none"/>
                <w:lang w:val="en-US" w:eastAsia="zh-CN" w:bidi="ar-SA"/>
              </w:rPr>
              <w:t>。</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5</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10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结合当地实际情况，</w:t>
            </w:r>
            <w:r>
              <w:rPr>
                <w:rFonts w:hint="eastAsia" w:ascii="宋体" w:hAnsi="宋体" w:eastAsia="宋体" w:cs="宋体"/>
                <w:i w:val="0"/>
                <w:color w:val="auto"/>
                <w:kern w:val="0"/>
                <w:sz w:val="22"/>
                <w:szCs w:val="22"/>
                <w:u w:val="none"/>
                <w:lang w:val="en-US" w:eastAsia="zh-CN" w:bidi="ar-SA"/>
              </w:rPr>
              <w:t>养殖全程不用药，</w:t>
            </w:r>
            <w:r>
              <w:rPr>
                <w:rFonts w:hint="eastAsia" w:ascii="宋体" w:hAnsi="宋体" w:cs="宋体"/>
                <w:i w:val="0"/>
                <w:color w:val="auto"/>
                <w:kern w:val="0"/>
                <w:sz w:val="22"/>
                <w:szCs w:val="22"/>
                <w:u w:val="none"/>
                <w:lang w:val="en-US" w:eastAsia="zh-CN" w:bidi="ar-SA"/>
              </w:rPr>
              <w:t>对养殖产品进行质量检测，且检测合格的，得5分。</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5</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2"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10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养殖同比减少投饵10%以上的，得1分，20%以上得2分，依次递增，5分封顶。</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5</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9"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养殖技术</w:t>
            </w:r>
          </w:p>
        </w:tc>
        <w:tc>
          <w:tcPr>
            <w:tcW w:w="1000"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水产养殖技术提升</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养殖</w:t>
            </w:r>
            <w:r>
              <w:rPr>
                <w:rFonts w:hint="eastAsia" w:ascii="宋体" w:hAnsi="宋体" w:eastAsia="宋体" w:cs="宋体"/>
                <w:i w:val="0"/>
                <w:color w:val="auto"/>
                <w:kern w:val="0"/>
                <w:sz w:val="22"/>
                <w:szCs w:val="22"/>
                <w:u w:val="none"/>
                <w:lang w:val="en-US" w:eastAsia="zh-CN" w:bidi="ar-SA"/>
              </w:rPr>
              <w:t>生产</w:t>
            </w:r>
            <w:r>
              <w:rPr>
                <w:rFonts w:hint="eastAsia" w:ascii="宋体" w:hAnsi="宋体" w:cs="宋体"/>
                <w:i w:val="0"/>
                <w:color w:val="auto"/>
                <w:kern w:val="0"/>
                <w:sz w:val="22"/>
                <w:szCs w:val="22"/>
                <w:u w:val="none"/>
                <w:lang w:val="en-US" w:eastAsia="zh-CN" w:bidi="ar-SA"/>
              </w:rPr>
              <w:t>、</w:t>
            </w:r>
            <w:r>
              <w:rPr>
                <w:rFonts w:hint="eastAsia" w:ascii="宋体" w:hAnsi="宋体" w:eastAsia="宋体" w:cs="宋体"/>
                <w:i w:val="0"/>
                <w:color w:val="auto"/>
                <w:kern w:val="0"/>
                <w:sz w:val="22"/>
                <w:szCs w:val="22"/>
                <w:u w:val="none"/>
                <w:lang w:val="en-US" w:eastAsia="zh-CN" w:bidi="ar-SA"/>
              </w:rPr>
              <w:t>销售</w:t>
            </w:r>
            <w:r>
              <w:rPr>
                <w:rFonts w:hint="eastAsia" w:ascii="宋体" w:hAnsi="宋体" w:cs="宋体"/>
                <w:i w:val="0"/>
                <w:color w:val="auto"/>
                <w:kern w:val="0"/>
                <w:sz w:val="22"/>
                <w:szCs w:val="22"/>
                <w:u w:val="none"/>
                <w:lang w:val="en-US" w:eastAsia="zh-CN" w:bidi="ar-SA"/>
              </w:rPr>
              <w:t>、用药</w:t>
            </w:r>
            <w:r>
              <w:rPr>
                <w:rFonts w:hint="eastAsia" w:ascii="宋体" w:hAnsi="宋体" w:eastAsia="宋体" w:cs="宋体"/>
                <w:i w:val="0"/>
                <w:color w:val="auto"/>
                <w:kern w:val="0"/>
                <w:sz w:val="22"/>
                <w:szCs w:val="22"/>
                <w:u w:val="none"/>
                <w:lang w:val="en-US" w:eastAsia="zh-CN" w:bidi="ar-SA"/>
              </w:rPr>
              <w:t>记录完整齐全，得</w:t>
            </w:r>
            <w:r>
              <w:rPr>
                <w:rFonts w:hint="eastAsia" w:ascii="宋体" w:hAnsi="宋体" w:cs="宋体"/>
                <w:i w:val="0"/>
                <w:color w:val="auto"/>
                <w:kern w:val="0"/>
                <w:sz w:val="22"/>
                <w:szCs w:val="22"/>
                <w:u w:val="none"/>
                <w:lang w:val="en-US" w:eastAsia="zh-CN" w:bidi="ar-SA"/>
              </w:rPr>
              <w:t>3</w:t>
            </w:r>
            <w:r>
              <w:rPr>
                <w:rFonts w:hint="eastAsia" w:ascii="宋体" w:hAnsi="宋体" w:eastAsia="宋体" w:cs="宋体"/>
                <w:i w:val="0"/>
                <w:color w:val="auto"/>
                <w:kern w:val="0"/>
                <w:sz w:val="22"/>
                <w:szCs w:val="22"/>
                <w:u w:val="none"/>
                <w:lang w:val="en-US" w:eastAsia="zh-CN" w:bidi="ar-SA"/>
              </w:rPr>
              <w:t>分；</w:t>
            </w:r>
            <w:r>
              <w:rPr>
                <w:rFonts w:hint="eastAsia" w:ascii="宋体" w:hAnsi="宋体" w:cs="宋体"/>
                <w:i w:val="0"/>
                <w:color w:val="auto"/>
                <w:kern w:val="0"/>
                <w:sz w:val="22"/>
                <w:szCs w:val="22"/>
                <w:u w:val="none"/>
                <w:lang w:val="en-US" w:eastAsia="zh-CN" w:bidi="ar-SA"/>
              </w:rPr>
              <w:t>有进行水产养殖产品“一品一码”登记的，得2分；</w:t>
            </w:r>
            <w:r>
              <w:rPr>
                <w:rFonts w:hint="eastAsia" w:ascii="宋体" w:hAnsi="宋体" w:eastAsia="宋体" w:cs="宋体"/>
                <w:i w:val="0"/>
                <w:color w:val="auto"/>
                <w:kern w:val="0"/>
                <w:sz w:val="22"/>
                <w:szCs w:val="22"/>
                <w:u w:val="none"/>
                <w:lang w:val="en-US" w:eastAsia="zh-CN" w:bidi="ar-SA"/>
              </w:rPr>
              <w:t>与标准化养殖相结合</w:t>
            </w:r>
            <w:r>
              <w:rPr>
                <w:rFonts w:hint="eastAsia" w:ascii="宋体" w:hAnsi="宋体" w:cs="宋体"/>
                <w:i w:val="0"/>
                <w:color w:val="auto"/>
                <w:kern w:val="0"/>
                <w:sz w:val="22"/>
                <w:szCs w:val="22"/>
                <w:u w:val="none"/>
                <w:lang w:val="en-US" w:eastAsia="zh-CN" w:bidi="ar-SA"/>
              </w:rPr>
              <w:t>的</w:t>
            </w:r>
            <w:r>
              <w:rPr>
                <w:rFonts w:hint="eastAsia" w:ascii="宋体" w:hAnsi="宋体" w:eastAsia="宋体" w:cs="宋体"/>
                <w:i w:val="0"/>
                <w:color w:val="auto"/>
                <w:kern w:val="0"/>
                <w:sz w:val="22"/>
                <w:szCs w:val="22"/>
                <w:u w:val="none"/>
                <w:lang w:val="en-US" w:eastAsia="zh-CN" w:bidi="ar-SA"/>
              </w:rPr>
              <w:t>，或者繁、养结合的，得</w:t>
            </w:r>
            <w:r>
              <w:rPr>
                <w:rFonts w:hint="eastAsia" w:ascii="宋体" w:hAnsi="宋体" w:cs="宋体"/>
                <w:i w:val="0"/>
                <w:color w:val="auto"/>
                <w:kern w:val="0"/>
                <w:sz w:val="22"/>
                <w:szCs w:val="22"/>
                <w:u w:val="none"/>
                <w:lang w:val="en-US" w:eastAsia="zh-CN" w:bidi="ar-SA"/>
              </w:rPr>
              <w:t>1</w:t>
            </w:r>
            <w:r>
              <w:rPr>
                <w:rFonts w:hint="eastAsia" w:ascii="宋体" w:hAnsi="宋体" w:eastAsia="宋体" w:cs="宋体"/>
                <w:i w:val="0"/>
                <w:color w:val="auto"/>
                <w:kern w:val="0"/>
                <w:sz w:val="22"/>
                <w:szCs w:val="22"/>
                <w:u w:val="none"/>
                <w:lang w:val="en-US" w:eastAsia="zh-CN" w:bidi="ar-SA"/>
              </w:rPr>
              <w:t>分；有开展一年多批次养殖，或者结合冬闲田模式养殖的得</w:t>
            </w:r>
            <w:r>
              <w:rPr>
                <w:rFonts w:hint="eastAsia" w:ascii="宋体" w:hAnsi="宋体" w:cs="宋体"/>
                <w:i w:val="0"/>
                <w:color w:val="auto"/>
                <w:kern w:val="0"/>
                <w:sz w:val="22"/>
                <w:szCs w:val="22"/>
                <w:u w:val="none"/>
                <w:lang w:val="en-US" w:eastAsia="zh-CN" w:bidi="ar-SA"/>
              </w:rPr>
              <w:t>1</w:t>
            </w:r>
            <w:r>
              <w:rPr>
                <w:rFonts w:hint="eastAsia" w:ascii="宋体" w:hAnsi="宋体" w:eastAsia="宋体" w:cs="宋体"/>
                <w:i w:val="0"/>
                <w:color w:val="auto"/>
                <w:kern w:val="0"/>
                <w:sz w:val="22"/>
                <w:szCs w:val="22"/>
                <w:u w:val="none"/>
                <w:lang w:val="en-US" w:eastAsia="zh-CN" w:bidi="ar-SA"/>
              </w:rPr>
              <w:t>分；</w:t>
            </w:r>
            <w:r>
              <w:rPr>
                <w:rFonts w:hint="eastAsia" w:ascii="宋体" w:hAnsi="宋体" w:cs="宋体"/>
                <w:i w:val="0"/>
                <w:color w:val="auto"/>
                <w:kern w:val="0"/>
                <w:sz w:val="22"/>
                <w:szCs w:val="22"/>
                <w:u w:val="none"/>
                <w:lang w:val="en-US" w:eastAsia="zh-CN" w:bidi="ar-SA"/>
              </w:rPr>
              <w:t>有设置尾水排放区，且尾水排放区面积达到种养区面积的5%的，得3分。</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10</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1" w:hRule="atLeast"/>
        </w:trPr>
        <w:tc>
          <w:tcPr>
            <w:tcW w:w="985"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kern w:val="0"/>
                <w:sz w:val="22"/>
                <w:szCs w:val="22"/>
                <w:u w:val="none"/>
                <w:lang w:val="en-US" w:eastAsia="zh-CN" w:bidi="ar-SA"/>
              </w:rPr>
            </w:pPr>
          </w:p>
        </w:tc>
        <w:tc>
          <w:tcPr>
            <w:tcW w:w="1000"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kern w:val="0"/>
                <w:sz w:val="22"/>
                <w:szCs w:val="22"/>
                <w:u w:val="none"/>
                <w:lang w:val="en-US" w:eastAsia="zh-CN" w:bidi="ar-SA"/>
              </w:rPr>
            </w:pP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default" w:ascii="宋体" w:hAnsi="宋体" w:eastAsia="宋体" w:cs="宋体"/>
                <w:i w:val="0"/>
                <w:color w:val="auto"/>
                <w:kern w:val="0"/>
                <w:sz w:val="22"/>
                <w:szCs w:val="22"/>
                <w:u w:val="none"/>
                <w:lang w:val="en-US" w:eastAsia="zh-CN" w:bidi="ar-SA"/>
              </w:rPr>
            </w:pPr>
            <w:r>
              <w:rPr>
                <w:rFonts w:hint="eastAsia" w:ascii="宋体" w:hAnsi="宋体" w:cs="宋体"/>
                <w:i w:val="0"/>
                <w:color w:val="auto"/>
                <w:kern w:val="0"/>
                <w:sz w:val="22"/>
                <w:szCs w:val="22"/>
                <w:u w:val="none"/>
                <w:lang w:val="en-US" w:eastAsia="zh-CN" w:bidi="ar-SA"/>
              </w:rPr>
              <w:t>结合当地实际情况，积极开展新品种试验和新模式创新，并取得成效，得5分。</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default" w:ascii="宋体" w:hAnsi="宋体" w:cs="宋体"/>
                <w:i w:val="0"/>
                <w:color w:val="auto"/>
                <w:kern w:val="0"/>
                <w:sz w:val="22"/>
                <w:szCs w:val="22"/>
                <w:u w:val="none"/>
                <w:lang w:val="en-US" w:eastAsia="zh-CN" w:bidi="ar-SA"/>
              </w:rPr>
            </w:pPr>
            <w:r>
              <w:rPr>
                <w:rFonts w:hint="eastAsia" w:ascii="宋体" w:hAnsi="宋体" w:cs="宋体"/>
                <w:i w:val="0"/>
                <w:color w:val="auto"/>
                <w:kern w:val="0"/>
                <w:sz w:val="22"/>
                <w:szCs w:val="22"/>
                <w:u w:val="none"/>
                <w:lang w:val="en-US" w:eastAsia="zh-CN" w:bidi="ar-SA"/>
              </w:rPr>
              <w:t>5</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kern w:val="0"/>
                <w:sz w:val="22"/>
                <w:szCs w:val="22"/>
                <w:u w:val="none"/>
                <w:lang w:val="en-US" w:eastAsia="zh-CN" w:bidi="ar-SA"/>
              </w:rPr>
            </w:pP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kern w:val="0"/>
                <w:sz w:val="22"/>
                <w:szCs w:val="22"/>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5" w:hRule="atLeast"/>
        </w:trPr>
        <w:tc>
          <w:tcPr>
            <w:tcW w:w="9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eastAsia="宋体" w:cs="宋体"/>
                <w:i w:val="0"/>
                <w:color w:val="auto"/>
                <w:kern w:val="0"/>
                <w:sz w:val="22"/>
                <w:szCs w:val="22"/>
                <w:u w:val="none"/>
                <w:lang w:val="en-US" w:eastAsia="zh-CN" w:bidi="ar-SA"/>
              </w:rPr>
              <w:t>产值与效益</w:t>
            </w:r>
            <w:r>
              <w:rPr>
                <w:rFonts w:hint="eastAsia" w:ascii="宋体" w:hAnsi="宋体" w:eastAsia="宋体" w:cs="宋体"/>
                <w:i w:val="0"/>
                <w:color w:val="auto"/>
                <w:kern w:val="0"/>
                <w:sz w:val="20"/>
                <w:szCs w:val="20"/>
                <w:u w:val="none"/>
                <w:lang w:val="en-US" w:eastAsia="zh-CN" w:bidi="ar-SA"/>
              </w:rPr>
              <w:t>（</w:t>
            </w:r>
            <w:r>
              <w:rPr>
                <w:rFonts w:hint="eastAsia" w:ascii="宋体" w:hAnsi="宋体" w:cs="宋体"/>
                <w:i w:val="0"/>
                <w:color w:val="auto"/>
                <w:kern w:val="0"/>
                <w:sz w:val="20"/>
                <w:szCs w:val="20"/>
                <w:u w:val="none"/>
                <w:lang w:val="en-US" w:eastAsia="zh-CN" w:bidi="ar-SA"/>
              </w:rPr>
              <w:t>20</w:t>
            </w:r>
            <w:r>
              <w:rPr>
                <w:rFonts w:hint="eastAsia" w:ascii="宋体" w:hAnsi="宋体" w:eastAsia="宋体" w:cs="宋体"/>
                <w:i w:val="0"/>
                <w:color w:val="auto"/>
                <w:kern w:val="0"/>
                <w:sz w:val="20"/>
                <w:szCs w:val="20"/>
                <w:u w:val="none"/>
                <w:lang w:val="en-US" w:eastAsia="zh-CN" w:bidi="ar-SA"/>
              </w:rPr>
              <w:t>分）</w:t>
            </w:r>
          </w:p>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0"/>
                <w:szCs w:val="20"/>
                <w:u w:val="none"/>
                <w:lang w:val="en-US" w:eastAsia="zh-CN" w:bidi="ar-SA"/>
              </w:rPr>
              <w:t>财政局评分</w:t>
            </w:r>
          </w:p>
        </w:tc>
        <w:tc>
          <w:tcPr>
            <w:tcW w:w="9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产值与效益</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测产报告及</w:t>
            </w:r>
            <w:r>
              <w:rPr>
                <w:rFonts w:hint="eastAsia" w:ascii="宋体" w:hAnsi="宋体" w:cs="宋体"/>
                <w:i w:val="0"/>
                <w:color w:val="auto"/>
                <w:kern w:val="0"/>
                <w:sz w:val="22"/>
                <w:szCs w:val="22"/>
                <w:u w:val="none"/>
                <w:lang w:val="en-US" w:eastAsia="zh-CN" w:bidi="ar-SA"/>
              </w:rPr>
              <w:t>物价</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亩年产值达</w:t>
            </w:r>
            <w:r>
              <w:rPr>
                <w:rFonts w:hint="eastAsia" w:ascii="宋体" w:hAnsi="宋体" w:cs="宋体"/>
                <w:i w:val="0"/>
                <w:color w:val="auto"/>
                <w:kern w:val="0"/>
                <w:sz w:val="22"/>
                <w:szCs w:val="22"/>
                <w:u w:val="none"/>
                <w:lang w:val="en-US" w:eastAsia="zh-CN" w:bidi="ar-SA"/>
              </w:rPr>
              <w:t>2766</w:t>
            </w:r>
            <w:r>
              <w:rPr>
                <w:rFonts w:hint="eastAsia" w:ascii="宋体" w:hAnsi="宋体" w:eastAsia="宋体" w:cs="宋体"/>
                <w:i w:val="0"/>
                <w:color w:val="auto"/>
                <w:kern w:val="0"/>
                <w:sz w:val="22"/>
                <w:szCs w:val="22"/>
                <w:u w:val="none"/>
                <w:lang w:val="en-US" w:eastAsia="zh-CN" w:bidi="ar-SA"/>
              </w:rPr>
              <w:t>元以上的，得</w:t>
            </w:r>
            <w:r>
              <w:rPr>
                <w:rFonts w:hint="eastAsia" w:ascii="宋体" w:hAnsi="宋体" w:cs="宋体"/>
                <w:i w:val="0"/>
                <w:color w:val="auto"/>
                <w:kern w:val="0"/>
                <w:sz w:val="22"/>
                <w:szCs w:val="22"/>
                <w:u w:val="none"/>
                <w:lang w:val="en-US" w:eastAsia="zh-CN" w:bidi="ar-SA"/>
              </w:rPr>
              <w:t>4</w:t>
            </w:r>
            <w:r>
              <w:rPr>
                <w:rFonts w:hint="eastAsia" w:ascii="宋体" w:hAnsi="宋体" w:eastAsia="宋体" w:cs="宋体"/>
                <w:i w:val="0"/>
                <w:color w:val="auto"/>
                <w:kern w:val="0"/>
                <w:sz w:val="22"/>
                <w:szCs w:val="22"/>
                <w:u w:val="none"/>
                <w:lang w:val="en-US" w:eastAsia="zh-CN" w:bidi="ar-SA"/>
              </w:rPr>
              <w:t>分，产值每增加1000，加</w:t>
            </w:r>
            <w:r>
              <w:rPr>
                <w:rFonts w:hint="eastAsia" w:ascii="宋体" w:hAnsi="宋体" w:cs="宋体"/>
                <w:i w:val="0"/>
                <w:color w:val="auto"/>
                <w:kern w:val="0"/>
                <w:sz w:val="22"/>
                <w:szCs w:val="22"/>
                <w:u w:val="none"/>
                <w:lang w:val="en-US" w:eastAsia="zh-CN" w:bidi="ar-SA"/>
              </w:rPr>
              <w:t>1</w:t>
            </w:r>
            <w:r>
              <w:rPr>
                <w:rFonts w:hint="eastAsia" w:ascii="宋体" w:hAnsi="宋体" w:eastAsia="宋体" w:cs="宋体"/>
                <w:i w:val="0"/>
                <w:color w:val="auto"/>
                <w:kern w:val="0"/>
                <w:sz w:val="22"/>
                <w:szCs w:val="22"/>
                <w:u w:val="none"/>
                <w:lang w:val="en-US" w:eastAsia="zh-CN" w:bidi="ar-SA"/>
              </w:rPr>
              <w:t>分，</w:t>
            </w:r>
            <w:r>
              <w:rPr>
                <w:rFonts w:hint="eastAsia" w:ascii="宋体" w:hAnsi="宋体" w:cs="宋体"/>
                <w:i w:val="0"/>
                <w:color w:val="auto"/>
                <w:kern w:val="0"/>
                <w:sz w:val="22"/>
                <w:szCs w:val="22"/>
                <w:u w:val="none"/>
                <w:lang w:val="en-US" w:eastAsia="zh-CN" w:bidi="ar-SA"/>
              </w:rPr>
              <w:t>6</w:t>
            </w:r>
            <w:r>
              <w:rPr>
                <w:rFonts w:hint="eastAsia" w:ascii="宋体" w:hAnsi="宋体" w:eastAsia="宋体" w:cs="宋体"/>
                <w:i w:val="0"/>
                <w:color w:val="auto"/>
                <w:kern w:val="0"/>
                <w:sz w:val="22"/>
                <w:szCs w:val="22"/>
                <w:u w:val="none"/>
                <w:lang w:val="en-US" w:eastAsia="zh-CN" w:bidi="ar-SA"/>
              </w:rPr>
              <w:t>分封顶，</w:t>
            </w:r>
            <w:r>
              <w:rPr>
                <w:rFonts w:hint="eastAsia" w:ascii="宋体" w:hAnsi="宋体" w:cs="宋体"/>
                <w:i w:val="0"/>
                <w:color w:val="auto"/>
                <w:kern w:val="0"/>
                <w:sz w:val="22"/>
                <w:szCs w:val="22"/>
                <w:u w:val="none"/>
                <w:lang w:val="en-US" w:eastAsia="zh-CN" w:bidi="ar-SA"/>
              </w:rPr>
              <w:t>2766</w:t>
            </w:r>
            <w:r>
              <w:rPr>
                <w:rFonts w:hint="eastAsia" w:ascii="宋体" w:hAnsi="宋体" w:eastAsia="宋体" w:cs="宋体"/>
                <w:i w:val="0"/>
                <w:color w:val="auto"/>
                <w:kern w:val="0"/>
                <w:sz w:val="22"/>
                <w:szCs w:val="22"/>
                <w:u w:val="none"/>
                <w:lang w:val="en-US" w:eastAsia="zh-CN" w:bidi="ar-SA"/>
              </w:rPr>
              <w:t>元以下不得分。</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10</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0"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测产报告及</w:t>
            </w:r>
            <w:r>
              <w:rPr>
                <w:rFonts w:hint="eastAsia" w:ascii="宋体" w:hAnsi="宋体" w:cs="宋体"/>
                <w:i w:val="0"/>
                <w:color w:val="auto"/>
                <w:kern w:val="0"/>
                <w:sz w:val="22"/>
                <w:szCs w:val="22"/>
                <w:u w:val="none"/>
                <w:lang w:val="en-US" w:eastAsia="zh-CN" w:bidi="ar-SA"/>
              </w:rPr>
              <w:t>物价</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亩年纯收入达到2000元（含）以上的，得4分，2000元以上，每增加500元，得1分，10分封顶。</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10</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5" w:hRule="atLeast"/>
        </w:trPr>
        <w:tc>
          <w:tcPr>
            <w:tcW w:w="9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eastAsia="宋体" w:cs="宋体"/>
                <w:i w:val="0"/>
                <w:color w:val="auto"/>
                <w:kern w:val="0"/>
                <w:sz w:val="22"/>
                <w:szCs w:val="22"/>
                <w:u w:val="none"/>
                <w:lang w:val="en-US" w:eastAsia="zh-CN" w:bidi="ar-SA"/>
              </w:rPr>
              <w:t>产业发展和品牌创建</w:t>
            </w:r>
            <w:r>
              <w:rPr>
                <w:rFonts w:hint="eastAsia" w:ascii="宋体" w:hAnsi="宋体" w:eastAsia="宋体" w:cs="宋体"/>
                <w:i w:val="0"/>
                <w:color w:val="auto"/>
                <w:kern w:val="0"/>
                <w:sz w:val="20"/>
                <w:szCs w:val="20"/>
                <w:u w:val="none"/>
                <w:lang w:val="en-US" w:eastAsia="zh-CN" w:bidi="ar-SA"/>
              </w:rPr>
              <w:t>（</w:t>
            </w:r>
            <w:r>
              <w:rPr>
                <w:rFonts w:hint="eastAsia" w:ascii="宋体" w:hAnsi="宋体" w:cs="宋体"/>
                <w:i w:val="0"/>
                <w:color w:val="auto"/>
                <w:kern w:val="0"/>
                <w:sz w:val="20"/>
                <w:szCs w:val="20"/>
                <w:u w:val="none"/>
                <w:lang w:val="en-US" w:eastAsia="zh-CN" w:bidi="ar-SA"/>
              </w:rPr>
              <w:t>30</w:t>
            </w:r>
            <w:r>
              <w:rPr>
                <w:rFonts w:hint="eastAsia" w:ascii="宋体" w:hAnsi="宋体" w:eastAsia="宋体" w:cs="宋体"/>
                <w:i w:val="0"/>
                <w:color w:val="auto"/>
                <w:kern w:val="0"/>
                <w:sz w:val="20"/>
                <w:szCs w:val="20"/>
                <w:u w:val="none"/>
                <w:lang w:val="en-US" w:eastAsia="zh-CN" w:bidi="ar-SA"/>
              </w:rPr>
              <w:t>分）</w:t>
            </w:r>
          </w:p>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发改委</w:t>
            </w:r>
            <w:r>
              <w:rPr>
                <w:rFonts w:hint="eastAsia" w:ascii="宋体" w:hAnsi="宋体" w:cs="宋体"/>
                <w:i w:val="0"/>
                <w:color w:val="auto"/>
                <w:kern w:val="0"/>
                <w:sz w:val="22"/>
                <w:szCs w:val="22"/>
                <w:u w:val="none"/>
                <w:lang w:val="en-US" w:eastAsia="zh-CN" w:bidi="ar-SA"/>
              </w:rPr>
              <w:t>、农业农村局</w:t>
            </w:r>
            <w:r>
              <w:rPr>
                <w:rFonts w:hint="eastAsia" w:ascii="宋体" w:hAnsi="宋体" w:eastAsia="宋体" w:cs="宋体"/>
                <w:i w:val="0"/>
                <w:color w:val="auto"/>
                <w:kern w:val="0"/>
                <w:sz w:val="22"/>
                <w:szCs w:val="22"/>
                <w:u w:val="none"/>
                <w:lang w:val="en-US" w:eastAsia="zh-CN" w:bidi="ar-SA"/>
              </w:rPr>
              <w:t>评分</w:t>
            </w:r>
          </w:p>
        </w:tc>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品牌创建和销售</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查阅内业资料</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有为种养产品创建品牌的，得</w:t>
            </w:r>
            <w:r>
              <w:rPr>
                <w:rFonts w:hint="eastAsia" w:ascii="宋体" w:hAnsi="宋体" w:cs="宋体"/>
                <w:i w:val="0"/>
                <w:color w:val="auto"/>
                <w:kern w:val="0"/>
                <w:sz w:val="22"/>
                <w:szCs w:val="22"/>
                <w:u w:val="none"/>
                <w:lang w:val="en-US" w:eastAsia="zh-CN" w:bidi="ar-SA"/>
              </w:rPr>
              <w:t>3</w:t>
            </w:r>
            <w:r>
              <w:rPr>
                <w:rFonts w:hint="eastAsia" w:ascii="宋体" w:hAnsi="宋体" w:eastAsia="宋体" w:cs="宋体"/>
                <w:i w:val="0"/>
                <w:color w:val="auto"/>
                <w:kern w:val="0"/>
                <w:sz w:val="22"/>
                <w:szCs w:val="22"/>
                <w:u w:val="none"/>
                <w:lang w:val="en-US" w:eastAsia="zh-CN" w:bidi="ar-SA"/>
              </w:rPr>
              <w:t>分，种养产品获得“三品一标”认证的，得</w:t>
            </w:r>
            <w:r>
              <w:rPr>
                <w:rFonts w:hint="eastAsia" w:ascii="宋体" w:hAnsi="宋体" w:cs="宋体"/>
                <w:i w:val="0"/>
                <w:color w:val="auto"/>
                <w:kern w:val="0"/>
                <w:sz w:val="22"/>
                <w:szCs w:val="22"/>
                <w:u w:val="none"/>
                <w:lang w:val="en-US" w:eastAsia="zh-CN" w:bidi="ar-SA"/>
              </w:rPr>
              <w:t>2</w:t>
            </w:r>
            <w:r>
              <w:rPr>
                <w:rFonts w:hint="eastAsia" w:ascii="宋体" w:hAnsi="宋体" w:eastAsia="宋体" w:cs="宋体"/>
                <w:i w:val="0"/>
                <w:color w:val="auto"/>
                <w:kern w:val="0"/>
                <w:sz w:val="22"/>
                <w:szCs w:val="22"/>
                <w:u w:val="none"/>
                <w:lang w:val="en-US" w:eastAsia="zh-CN" w:bidi="ar-SA"/>
              </w:rPr>
              <w:t>分。</w:t>
            </w:r>
            <w:r>
              <w:rPr>
                <w:rFonts w:hint="eastAsia" w:ascii="宋体" w:hAnsi="宋体" w:cs="宋体"/>
                <w:i w:val="0"/>
                <w:color w:val="auto"/>
                <w:kern w:val="0"/>
                <w:sz w:val="22"/>
                <w:szCs w:val="22"/>
                <w:u w:val="none"/>
                <w:lang w:val="en-US" w:eastAsia="zh-CN" w:bidi="ar-SA"/>
              </w:rPr>
              <w:t>在淘宝、京东、拼多多等网络电商平台、微信、抖音直播等平台，直接对接商超、农贸市场、饭店等</w:t>
            </w:r>
            <w:r>
              <w:rPr>
                <w:rFonts w:hint="eastAsia" w:ascii="宋体" w:hAnsi="宋体" w:eastAsia="宋体" w:cs="宋体"/>
                <w:i w:val="0"/>
                <w:color w:val="auto"/>
                <w:kern w:val="0"/>
                <w:sz w:val="22"/>
                <w:szCs w:val="22"/>
                <w:u w:val="none"/>
                <w:lang w:val="en-US" w:eastAsia="zh-CN" w:bidi="ar-SA"/>
              </w:rPr>
              <w:t>开拓自有销售渠道的</w:t>
            </w:r>
            <w:r>
              <w:rPr>
                <w:rFonts w:hint="eastAsia" w:ascii="宋体" w:hAnsi="宋体" w:cs="宋体"/>
                <w:i w:val="0"/>
                <w:color w:val="auto"/>
                <w:kern w:val="0"/>
                <w:sz w:val="22"/>
                <w:szCs w:val="22"/>
                <w:u w:val="none"/>
                <w:lang w:val="en-US" w:eastAsia="zh-CN" w:bidi="ar-SA"/>
              </w:rPr>
              <w:t>每项加1分，5分封顶。</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10</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2"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宣传报道</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查阅内业资料</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有在</w:t>
            </w:r>
            <w:r>
              <w:rPr>
                <w:rFonts w:hint="eastAsia" w:ascii="宋体" w:hAnsi="宋体" w:cs="宋体"/>
                <w:i w:val="0"/>
                <w:color w:val="auto"/>
                <w:kern w:val="0"/>
                <w:sz w:val="22"/>
                <w:szCs w:val="22"/>
                <w:u w:val="none"/>
                <w:lang w:val="en-US" w:eastAsia="zh-CN" w:bidi="ar-SA"/>
              </w:rPr>
              <w:t>各级</w:t>
            </w:r>
            <w:r>
              <w:rPr>
                <w:rFonts w:hint="eastAsia" w:ascii="宋体" w:hAnsi="宋体" w:eastAsia="宋体" w:cs="宋体"/>
                <w:i w:val="0"/>
                <w:color w:val="auto"/>
                <w:kern w:val="0"/>
                <w:sz w:val="22"/>
                <w:szCs w:val="22"/>
                <w:u w:val="none"/>
                <w:lang w:val="en-US" w:eastAsia="zh-CN" w:bidi="ar-SA"/>
              </w:rPr>
              <w:t>电视台、报纸</w:t>
            </w:r>
            <w:r>
              <w:rPr>
                <w:rFonts w:hint="eastAsia" w:ascii="宋体" w:hAnsi="宋体" w:cs="宋体"/>
                <w:i w:val="0"/>
                <w:color w:val="auto"/>
                <w:kern w:val="0"/>
                <w:sz w:val="22"/>
                <w:szCs w:val="22"/>
                <w:u w:val="none"/>
                <w:lang w:val="en-US" w:eastAsia="zh-CN" w:bidi="ar-SA"/>
              </w:rPr>
              <w:t>、政府部门微信公众号</w:t>
            </w:r>
            <w:r>
              <w:rPr>
                <w:rFonts w:hint="eastAsia" w:ascii="宋体" w:hAnsi="宋体" w:eastAsia="宋体" w:cs="宋体"/>
                <w:i w:val="0"/>
                <w:color w:val="auto"/>
                <w:kern w:val="0"/>
                <w:sz w:val="22"/>
                <w:szCs w:val="22"/>
                <w:u w:val="none"/>
                <w:lang w:val="en-US" w:eastAsia="zh-CN" w:bidi="ar-SA"/>
              </w:rPr>
              <w:t>等媒体宣传报道的，</w:t>
            </w:r>
            <w:r>
              <w:rPr>
                <w:rFonts w:hint="eastAsia" w:ascii="宋体" w:hAnsi="宋体" w:cs="宋体"/>
                <w:i w:val="0"/>
                <w:color w:val="auto"/>
                <w:kern w:val="0"/>
                <w:sz w:val="22"/>
                <w:szCs w:val="22"/>
                <w:u w:val="none"/>
                <w:lang w:val="en-US" w:eastAsia="zh-CN" w:bidi="ar-SA"/>
              </w:rPr>
              <w:t>县级、</w:t>
            </w:r>
            <w:r>
              <w:rPr>
                <w:rFonts w:hint="eastAsia" w:ascii="宋体" w:hAnsi="宋体" w:eastAsia="宋体" w:cs="宋体"/>
                <w:i w:val="0"/>
                <w:color w:val="auto"/>
                <w:kern w:val="0"/>
                <w:sz w:val="22"/>
                <w:szCs w:val="22"/>
                <w:u w:val="none"/>
                <w:lang w:val="en-US" w:eastAsia="zh-CN" w:bidi="ar-SA"/>
              </w:rPr>
              <w:t>市级、省级、国家级</w:t>
            </w:r>
            <w:r>
              <w:rPr>
                <w:rFonts w:hint="eastAsia" w:ascii="宋体" w:hAnsi="宋体" w:cs="宋体"/>
                <w:i w:val="0"/>
                <w:color w:val="auto"/>
                <w:kern w:val="0"/>
                <w:sz w:val="22"/>
                <w:szCs w:val="22"/>
                <w:u w:val="none"/>
                <w:lang w:val="en-US" w:eastAsia="zh-CN" w:bidi="ar-SA"/>
              </w:rPr>
              <w:t>每次</w:t>
            </w:r>
            <w:r>
              <w:rPr>
                <w:rFonts w:hint="eastAsia" w:ascii="宋体" w:hAnsi="宋体" w:eastAsia="宋体" w:cs="宋体"/>
                <w:i w:val="0"/>
                <w:color w:val="auto"/>
                <w:kern w:val="0"/>
                <w:sz w:val="22"/>
                <w:szCs w:val="22"/>
                <w:u w:val="none"/>
                <w:lang w:val="en-US" w:eastAsia="zh-CN" w:bidi="ar-SA"/>
              </w:rPr>
              <w:t>分别</w:t>
            </w:r>
            <w:r>
              <w:rPr>
                <w:rFonts w:hint="eastAsia" w:ascii="宋体" w:hAnsi="宋体" w:cs="宋体"/>
                <w:i w:val="0"/>
                <w:color w:val="auto"/>
                <w:kern w:val="0"/>
                <w:sz w:val="22"/>
                <w:szCs w:val="22"/>
                <w:u w:val="none"/>
                <w:lang w:val="en-US" w:eastAsia="zh-CN" w:bidi="ar-SA"/>
              </w:rPr>
              <w:t>得1</w:t>
            </w:r>
            <w:r>
              <w:rPr>
                <w:rFonts w:hint="eastAsia" w:ascii="宋体" w:hAnsi="宋体" w:eastAsia="宋体" w:cs="宋体"/>
                <w:i w:val="0"/>
                <w:color w:val="auto"/>
                <w:kern w:val="0"/>
                <w:sz w:val="22"/>
                <w:szCs w:val="22"/>
                <w:u w:val="none"/>
                <w:lang w:val="en-US" w:eastAsia="zh-CN" w:bidi="ar-SA"/>
              </w:rPr>
              <w:t>分、</w:t>
            </w:r>
            <w:r>
              <w:rPr>
                <w:rFonts w:hint="eastAsia" w:ascii="宋体" w:hAnsi="宋体" w:cs="宋体"/>
                <w:i w:val="0"/>
                <w:color w:val="auto"/>
                <w:kern w:val="0"/>
                <w:sz w:val="22"/>
                <w:szCs w:val="22"/>
                <w:u w:val="none"/>
                <w:lang w:val="en-US" w:eastAsia="zh-CN" w:bidi="ar-SA"/>
              </w:rPr>
              <w:t>1.5</w:t>
            </w:r>
            <w:r>
              <w:rPr>
                <w:rFonts w:hint="eastAsia" w:ascii="宋体" w:hAnsi="宋体" w:eastAsia="宋体" w:cs="宋体"/>
                <w:i w:val="0"/>
                <w:color w:val="auto"/>
                <w:kern w:val="0"/>
                <w:sz w:val="22"/>
                <w:szCs w:val="22"/>
                <w:u w:val="none"/>
                <w:lang w:val="en-US" w:eastAsia="zh-CN" w:bidi="ar-SA"/>
              </w:rPr>
              <w:t>分、</w:t>
            </w:r>
            <w:r>
              <w:rPr>
                <w:rFonts w:hint="eastAsia" w:ascii="宋体" w:hAnsi="宋体" w:cs="宋体"/>
                <w:i w:val="0"/>
                <w:color w:val="auto"/>
                <w:kern w:val="0"/>
                <w:sz w:val="22"/>
                <w:szCs w:val="22"/>
                <w:u w:val="none"/>
                <w:lang w:val="en-US" w:eastAsia="zh-CN" w:bidi="ar-SA"/>
              </w:rPr>
              <w:t>2分、2.5</w:t>
            </w:r>
            <w:r>
              <w:rPr>
                <w:rFonts w:hint="eastAsia" w:ascii="宋体" w:hAnsi="宋体" w:eastAsia="宋体" w:cs="宋体"/>
                <w:i w:val="0"/>
                <w:color w:val="auto"/>
                <w:kern w:val="0"/>
                <w:sz w:val="22"/>
                <w:szCs w:val="22"/>
                <w:u w:val="none"/>
                <w:lang w:val="en-US" w:eastAsia="zh-CN" w:bidi="ar-SA"/>
              </w:rPr>
              <w:t>分</w:t>
            </w:r>
            <w:r>
              <w:rPr>
                <w:rFonts w:hint="eastAsia" w:ascii="宋体" w:hAnsi="宋体" w:cs="宋体"/>
                <w:i w:val="0"/>
                <w:color w:val="auto"/>
                <w:kern w:val="0"/>
                <w:sz w:val="22"/>
                <w:szCs w:val="22"/>
                <w:u w:val="none"/>
                <w:lang w:val="en-US" w:eastAsia="zh-CN" w:bidi="ar-SA"/>
              </w:rPr>
              <w:t>，5分封顶。</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lang w:val="en-US" w:eastAsia="zh-CN"/>
              </w:rPr>
            </w:pPr>
            <w:r>
              <w:rPr>
                <w:rFonts w:hint="eastAsia" w:ascii="宋体" w:hAnsi="宋体" w:cs="宋体"/>
                <w:i w:val="0"/>
                <w:color w:val="auto"/>
                <w:sz w:val="22"/>
                <w:szCs w:val="22"/>
                <w:u w:val="none"/>
                <w:lang w:val="en-US" w:eastAsia="zh-CN"/>
              </w:rPr>
              <w:t>5</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93"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产业融合发展</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现场察看</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有与美食餐饮、农事体验、休闲垂钓和科普教育等业态融合发展的，</w:t>
            </w:r>
            <w:r>
              <w:rPr>
                <w:rFonts w:hint="eastAsia" w:ascii="宋体" w:hAnsi="宋体" w:cs="宋体"/>
                <w:i w:val="0"/>
                <w:color w:val="auto"/>
                <w:kern w:val="0"/>
                <w:sz w:val="22"/>
                <w:szCs w:val="22"/>
                <w:u w:val="none"/>
                <w:lang w:val="en-US" w:eastAsia="zh-CN" w:bidi="ar-SA"/>
              </w:rPr>
              <w:t>在当地有一定的知名度的，每项加1分，5</w:t>
            </w:r>
            <w:r>
              <w:rPr>
                <w:rFonts w:hint="eastAsia" w:ascii="宋体" w:hAnsi="宋体" w:eastAsia="宋体" w:cs="宋体"/>
                <w:i w:val="0"/>
                <w:color w:val="auto"/>
                <w:kern w:val="0"/>
                <w:sz w:val="22"/>
                <w:szCs w:val="22"/>
                <w:u w:val="none"/>
                <w:lang w:val="en-US" w:eastAsia="zh-CN" w:bidi="ar-SA"/>
              </w:rPr>
              <w:t>分</w:t>
            </w:r>
            <w:r>
              <w:rPr>
                <w:rFonts w:hint="eastAsia" w:ascii="宋体" w:hAnsi="宋体" w:cs="宋体"/>
                <w:i w:val="0"/>
                <w:color w:val="auto"/>
                <w:kern w:val="0"/>
                <w:sz w:val="22"/>
                <w:szCs w:val="22"/>
                <w:u w:val="none"/>
                <w:lang w:val="en-US" w:eastAsia="zh-CN" w:bidi="ar-SA"/>
              </w:rPr>
              <w:t>封顶</w:t>
            </w:r>
            <w:r>
              <w:rPr>
                <w:rFonts w:hint="eastAsia" w:ascii="宋体" w:hAnsi="宋体" w:eastAsia="宋体" w:cs="宋体"/>
                <w:i w:val="0"/>
                <w:color w:val="auto"/>
                <w:kern w:val="0"/>
                <w:sz w:val="22"/>
                <w:szCs w:val="22"/>
                <w:u w:val="none"/>
                <w:lang w:val="en-US" w:eastAsia="zh-CN" w:bidi="ar-SA"/>
              </w:rPr>
              <w:t>。</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5</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8" w:hRule="atLeast"/>
        </w:trPr>
        <w:tc>
          <w:tcPr>
            <w:tcW w:w="8077"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得分合计</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cs="宋体"/>
                <w:i w:val="0"/>
                <w:color w:val="auto"/>
                <w:kern w:val="0"/>
                <w:sz w:val="22"/>
                <w:szCs w:val="22"/>
                <w:u w:val="none"/>
                <w:lang w:val="en-US" w:eastAsia="zh-CN" w:bidi="ar-SA"/>
              </w:rPr>
              <w:t>120</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kern w:val="0"/>
                <w:sz w:val="22"/>
                <w:szCs w:val="22"/>
                <w:u w:val="none"/>
                <w:lang w:val="en-US" w:eastAsia="zh-CN" w:bidi="ar-SA"/>
              </w:rPr>
            </w:pPr>
          </w:p>
        </w:tc>
      </w:tr>
    </w:tbl>
    <w:p>
      <w:pPr>
        <w:widowControl/>
        <w:wordWrap/>
        <w:adjustRightInd/>
        <w:snapToGrid/>
        <w:spacing w:line="280" w:lineRule="exact"/>
        <w:jc w:val="left"/>
        <w:textAlignment w:val="center"/>
        <w:rPr>
          <w:rFonts w:hint="eastAsia"/>
          <w:color w:val="auto"/>
          <w:lang w:val="en-US" w:eastAsia="zh-CN"/>
        </w:rPr>
      </w:pPr>
    </w:p>
    <w:p>
      <w:pPr>
        <w:widowControl/>
        <w:wordWrap/>
        <w:adjustRightInd/>
        <w:snapToGrid/>
        <w:spacing w:line="280" w:lineRule="exact"/>
        <w:jc w:val="left"/>
        <w:textAlignment w:val="center"/>
        <w:rPr>
          <w:rFonts w:hint="eastAsia"/>
          <w:color w:val="auto"/>
          <w:lang w:val="en-US" w:eastAsia="zh-CN"/>
        </w:rPr>
      </w:pPr>
    </w:p>
    <w:p>
      <w:pPr>
        <w:widowControl/>
        <w:wordWrap/>
        <w:adjustRightInd/>
        <w:snapToGrid/>
        <w:spacing w:line="600" w:lineRule="exact"/>
        <w:jc w:val="left"/>
        <w:textAlignment w:val="center"/>
        <w:rPr>
          <w:rFonts w:hint="eastAsia" w:ascii="仿宋_GB2312" w:hAnsi="仿宋_GB2312" w:eastAsia="仿宋_GB2312" w:cs="仿宋_GB2312"/>
          <w:color w:val="auto"/>
          <w:sz w:val="28"/>
          <w:szCs w:val="28"/>
          <w:lang w:val="en-US" w:eastAsia="zh-CN"/>
        </w:rPr>
        <w:sectPr>
          <w:footerReference r:id="rId5" w:type="default"/>
          <w:pgSz w:w="11907" w:h="16840"/>
          <w:pgMar w:top="1814" w:right="1531" w:bottom="1587" w:left="1531" w:header="851" w:footer="1531" w:gutter="0"/>
          <w:pgNumType w:fmt="decimal"/>
          <w:cols w:space="720" w:num="1"/>
          <w:docGrid w:linePitch="312" w:charSpace="0"/>
        </w:sectPr>
      </w:pPr>
      <w:r>
        <w:rPr>
          <w:rFonts w:hint="eastAsia" w:ascii="仿宋_GB2312" w:hAnsi="仿宋_GB2312" w:eastAsia="仿宋_GB2312" w:cs="仿宋_GB2312"/>
          <w:color w:val="auto"/>
          <w:sz w:val="28"/>
          <w:szCs w:val="28"/>
          <w:lang w:val="en-US" w:eastAsia="zh-CN"/>
        </w:rPr>
        <w:t>验收人员（签字）：</w:t>
      </w:r>
    </w:p>
    <w:p>
      <w:pPr>
        <w:pStyle w:val="2"/>
        <w:rPr>
          <w:rFonts w:hint="eastAsia"/>
          <w:color w:val="auto"/>
        </w:rPr>
      </w:pPr>
    </w:p>
    <w:p>
      <w:pPr>
        <w:rPr>
          <w:rFonts w:hint="eastAsia"/>
          <w:color w:val="auto"/>
        </w:rPr>
      </w:pPr>
    </w:p>
    <w:p>
      <w:pPr>
        <w:pStyle w:val="2"/>
        <w:rPr>
          <w:rFonts w:hint="eastAsia"/>
          <w:color w:val="auto"/>
        </w:rPr>
      </w:pPr>
    </w:p>
    <w:p>
      <w:pPr>
        <w:rPr>
          <w:rFonts w:hint="eastAsia"/>
          <w:color w:val="auto"/>
        </w:rPr>
      </w:pPr>
    </w:p>
    <w:p>
      <w:pPr>
        <w:pStyle w:val="2"/>
        <w:rPr>
          <w:rFonts w:hint="eastAsia"/>
          <w:color w:val="auto"/>
        </w:rPr>
      </w:pPr>
    </w:p>
    <w:p>
      <w:pPr>
        <w:rPr>
          <w:rFonts w:hint="eastAsia"/>
          <w:color w:val="auto"/>
        </w:rPr>
      </w:pPr>
    </w:p>
    <w:p>
      <w:pPr>
        <w:pStyle w:val="2"/>
        <w:rPr>
          <w:rFonts w:hint="eastAsia"/>
          <w:color w:val="auto"/>
        </w:rPr>
      </w:pPr>
    </w:p>
    <w:p>
      <w:pPr>
        <w:rPr>
          <w:rFonts w:hint="eastAsia"/>
          <w:color w:val="auto"/>
        </w:rPr>
      </w:pPr>
    </w:p>
    <w:p>
      <w:pPr>
        <w:pStyle w:val="2"/>
        <w:rPr>
          <w:rFonts w:hint="eastAsia"/>
          <w:color w:val="auto"/>
        </w:rPr>
      </w:pPr>
    </w:p>
    <w:p>
      <w:pPr>
        <w:rPr>
          <w:rFonts w:hint="eastAsia"/>
          <w:color w:val="auto"/>
        </w:rPr>
      </w:pPr>
    </w:p>
    <w:p>
      <w:pPr>
        <w:pStyle w:val="2"/>
        <w:rPr>
          <w:rFonts w:hint="eastAsia"/>
          <w:color w:val="auto"/>
        </w:rPr>
      </w:pPr>
    </w:p>
    <w:p>
      <w:pPr>
        <w:rPr>
          <w:rFonts w:hint="eastAsia"/>
          <w:color w:val="auto"/>
        </w:rPr>
      </w:pPr>
    </w:p>
    <w:p>
      <w:pPr>
        <w:pStyle w:val="2"/>
        <w:rPr>
          <w:rFonts w:hint="eastAsia"/>
          <w:color w:val="auto"/>
        </w:rPr>
      </w:pPr>
    </w:p>
    <w:p>
      <w:pPr>
        <w:rPr>
          <w:rFonts w:hint="eastAsia"/>
          <w:color w:val="auto"/>
        </w:rPr>
      </w:pPr>
    </w:p>
    <w:p>
      <w:pPr>
        <w:pStyle w:val="2"/>
        <w:rPr>
          <w:rFonts w:hint="eastAsia"/>
          <w:color w:val="auto"/>
        </w:rPr>
      </w:pPr>
    </w:p>
    <w:p>
      <w:pPr>
        <w:rPr>
          <w:rFonts w:hint="eastAsia"/>
          <w:color w:val="auto"/>
        </w:rPr>
      </w:pPr>
    </w:p>
    <w:p>
      <w:pPr>
        <w:pStyle w:val="2"/>
        <w:rPr>
          <w:rFonts w:hint="eastAsia"/>
          <w:color w:val="auto"/>
        </w:rPr>
      </w:pPr>
    </w:p>
    <w:p>
      <w:pPr>
        <w:rPr>
          <w:rFonts w:hint="eastAsia"/>
          <w:color w:val="auto"/>
        </w:rPr>
      </w:pPr>
    </w:p>
    <w:p>
      <w:pPr>
        <w:rPr>
          <w:rFonts w:hint="eastAsia"/>
          <w:color w:val="auto"/>
        </w:rPr>
      </w:pPr>
    </w:p>
    <w:p>
      <w:pPr>
        <w:pStyle w:val="2"/>
        <w:rPr>
          <w:rFonts w:hint="eastAsia"/>
          <w:color w:val="auto"/>
        </w:rPr>
      </w:pPr>
    </w:p>
    <w:p>
      <w:pPr>
        <w:rPr>
          <w:rFonts w:hint="eastAsia"/>
          <w:color w:val="auto"/>
        </w:rPr>
      </w:pPr>
    </w:p>
    <w:p>
      <w:pPr>
        <w:pStyle w:val="2"/>
        <w:rPr>
          <w:rFonts w:hint="eastAsia"/>
        </w:rPr>
      </w:pPr>
    </w:p>
    <w:p>
      <w:pPr>
        <w:rPr>
          <w:rFonts w:hint="eastAsia" w:ascii="仿宋_GB2312" w:hAnsi="仿宋" w:eastAsia="仿宋_GB2312" w:cs="仿宋"/>
          <w:color w:val="auto"/>
          <w:sz w:val="32"/>
          <w:szCs w:val="32"/>
        </w:rPr>
      </w:pPr>
    </w:p>
    <w:p>
      <w:pPr>
        <w:rPr>
          <w:rFonts w:hint="eastAsia" w:ascii="仿宋_GB2312" w:hAnsi="仿宋" w:eastAsia="仿宋_GB2312" w:cs="仿宋"/>
          <w:color w:val="auto"/>
          <w:sz w:val="32"/>
          <w:szCs w:val="32"/>
        </w:rPr>
      </w:pPr>
    </w:p>
    <w:p>
      <w:pPr>
        <w:widowControl w:val="0"/>
        <w:wordWrap/>
        <w:adjustRightInd/>
        <w:snapToGrid/>
        <w:spacing w:line="600" w:lineRule="exact"/>
        <w:ind w:firstLine="268" w:firstLineChars="100"/>
        <w:textAlignment w:val="auto"/>
        <w:rPr>
          <w:rFonts w:hint="eastAsia" w:ascii="仿宋_GB2312" w:hAnsi="仿宋_GB2312" w:eastAsia="仿宋_GB2312" w:cs="仿宋_GB2312"/>
          <w:color w:val="auto"/>
          <w:spacing w:val="-6"/>
          <w:sz w:val="28"/>
          <w:szCs w:val="28"/>
          <w:lang w:val="en-US" w:eastAsia="zh-CN"/>
        </w:rPr>
      </w:pPr>
      <w:r>
        <w:rPr>
          <w:rFonts w:hint="eastAsia" w:ascii="仿宋_GB2312" w:hAnsi="仿宋_GB2312" w:eastAsia="仿宋_GB2312" w:cs="仿宋_GB2312"/>
          <w:color w:val="auto"/>
          <w:spacing w:val="-6"/>
          <w:kern w:val="2"/>
          <w:sz w:val="28"/>
          <w:szCs w:val="28"/>
          <w:lang w:val="en-US" w:eastAsia="zh-CN" w:bidi="ar-SA"/>
        </w:rPr>
        <w:pict>
          <v:line id="直接连接符 5" o:spid="_x0000_s1028" o:spt="20" style="position:absolute;left:0pt;margin-left:-6.5pt;margin-top:2.65pt;height:0.05pt;width:455.25pt;z-index:251659264;mso-width-relative:page;mso-height-relative:page;" fillcolor="#FFFFFF" filled="f" o:preferrelative="t" stroked="t" coordsize="21600,21600">
            <v:path arrowok="t"/>
            <v:fill on="f" color2="#FFFFFF" focussize="0,0"/>
            <v:stroke color="#000000" color2="#FFFFFF" miterlimit="2"/>
            <v:imagedata gain="65536f" blacklevel="0f" gamma="0" o:title=""/>
            <o:lock v:ext="edit" position="f" selection="f" grouping="f" rotation="f" cropping="f" text="f" aspectratio="f"/>
          </v:line>
        </w:pict>
      </w:r>
      <w:r>
        <w:rPr>
          <w:rFonts w:hint="eastAsia" w:ascii="仿宋_GB2312" w:hAnsi="仿宋_GB2312" w:eastAsia="仿宋_GB2312" w:cs="仿宋_GB2312"/>
          <w:color w:val="auto"/>
          <w:spacing w:val="-6"/>
          <w:kern w:val="2"/>
          <w:sz w:val="28"/>
          <w:szCs w:val="28"/>
          <w:lang w:val="en-US" w:eastAsia="zh-CN" w:bidi="ar-SA"/>
        </w:rPr>
        <w:pict>
          <v:line id="直接连接符 6" o:spid="_x0000_s1029" o:spt="20" style="position:absolute;left:0pt;margin-left:-7.25pt;margin-top:33.4pt;height:0.05pt;width:455.25pt;z-index:251660288;mso-width-relative:page;mso-height-relative:page;" fillcolor="#FFFFFF" filled="f" o:preferrelative="t" stroked="t" coordsize="21600,21600">
            <v:path arrowok="t"/>
            <v:fill on="f" color2="#FFFFFF" focussize="0,0"/>
            <v:stroke weight="0.5pt" color="#000000" color2="#FFFFFF" miterlimit="2"/>
            <v:imagedata gain="65536f" blacklevel="0f" gamma="0" o:title=""/>
            <o:lock v:ext="edit" position="f" selection="f" grouping="f" rotation="f" cropping="f" text="f" aspectratio="f"/>
          </v:line>
        </w:pict>
      </w:r>
      <w:r>
        <w:rPr>
          <w:rFonts w:hint="eastAsia" w:ascii="仿宋_GB2312" w:hAnsi="仿宋_GB2312" w:eastAsia="仿宋_GB2312" w:cs="仿宋_GB2312"/>
          <w:color w:val="auto"/>
          <w:spacing w:val="-6"/>
          <w:sz w:val="28"/>
          <w:szCs w:val="28"/>
          <w:lang w:val="en-US" w:eastAsia="zh-CN"/>
        </w:rPr>
        <w:t>抄送：龙岩市发改委、市财政局、市自然资源局，市农技站、畜牧站。</w:t>
      </w:r>
    </w:p>
    <w:p>
      <w:pPr>
        <w:widowControl w:val="0"/>
        <w:wordWrap/>
        <w:adjustRightInd/>
        <w:snapToGrid/>
        <w:spacing w:line="600" w:lineRule="exact"/>
        <w:ind w:firstLine="268" w:firstLineChars="100"/>
        <w:textAlignment w:val="auto"/>
      </w:pPr>
      <w:r>
        <w:rPr>
          <w:rFonts w:hint="eastAsia" w:ascii="仿宋_GB2312" w:hAnsi="仿宋_GB2312" w:eastAsia="仿宋_GB2312" w:cs="仿宋_GB2312"/>
          <w:color w:val="auto"/>
          <w:spacing w:val="-6"/>
          <w:kern w:val="2"/>
          <w:sz w:val="28"/>
          <w:szCs w:val="28"/>
          <w:lang w:val="en-US" w:eastAsia="zh-CN" w:bidi="ar-SA"/>
        </w:rPr>
        <w:pict>
          <v:line id="直接连接符 7" o:spid="_x0000_s1030" o:spt="20" style="position:absolute;left:0pt;margin-left:-7.25pt;margin-top:33.4pt;height:0.05pt;width:455.25pt;z-index:251661312;mso-width-relative:page;mso-height-relative:page;" fillcolor="#FFFFFF" filled="f" o:preferrelative="t" stroked="t" coordsize="21600,21600">
            <v:path arrowok="t"/>
            <v:fill on="f" color2="#FFFFFF" focussize="0,0"/>
            <v:stroke color="#000000" color2="#FFFFFF" miterlimit="2"/>
            <v:imagedata gain="65536f" blacklevel="0f" gamma="0" o:title=""/>
            <o:lock v:ext="edit" position="f" selection="f" grouping="f" rotation="f" cropping="f" text="f" aspectratio="f"/>
          </v:line>
        </w:pict>
      </w:r>
      <w:r>
        <w:rPr>
          <w:rFonts w:hint="eastAsia" w:ascii="仿宋_GB2312" w:hAnsi="仿宋_GB2312" w:eastAsia="仿宋_GB2312" w:cs="仿宋_GB2312"/>
          <w:color w:val="auto"/>
          <w:spacing w:val="-6"/>
          <w:sz w:val="28"/>
          <w:szCs w:val="28"/>
          <w:lang w:val="en-US" w:eastAsia="zh-CN"/>
        </w:rPr>
        <w:t>龙岩市农业农村局办公室                    2025年8月27日印发</w:t>
      </w:r>
    </w:p>
    <w:sectPr>
      <w:footerReference r:id="rId6" w:type="default"/>
      <w:pgSz w:w="11907" w:h="16840"/>
      <w:pgMar w:top="1814" w:right="1531" w:bottom="1587" w:left="1531" w:header="851" w:footer="1531"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
    <w:altName w:val="Segoe Print"/>
    <w:panose1 w:val="00000000000000000000"/>
    <w:charset w:val="00"/>
    <w:family w:val="auto"/>
    <w:pitch w:val="default"/>
    <w:sig w:usb0="00000000" w:usb1="00000000" w:usb2="00000000" w:usb3="00000000" w:csb0="00000001"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ascii="Calibri" w:hAnsi="Calibri" w:eastAsia="宋体" w:cs="黑体"/>
        <w:kern w:val="2"/>
        <w:sz w:val="18"/>
        <w:szCs w:val="18"/>
        <w:lang w:val="en-US" w:eastAsia="zh-CN" w:bidi="ar-SA"/>
      </w:rPr>
      <w:pict>
        <v:rect id="_x0000_s2051" o:spid="_x0000_s2051" o:spt="1" style="position:absolute;left:0pt;margin-top:0pt;height:144pt;width:144pt;mso-position-horizontal:outside;mso-position-horizontal-relative:margin;mso-wrap-style:none;z-index:251663360;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9"/>
                </w:pPr>
                <w:r>
                  <w:rPr>
                    <w:rStyle w:val="15"/>
                    <w:rFonts w:hint="eastAsia" w:ascii="宋体" w:hAnsi="宋体"/>
                    <w:sz w:val="28"/>
                    <w:szCs w:val="28"/>
                  </w:rPr>
                  <w:t>—</w:t>
                </w:r>
                <w:r>
                  <w:rPr>
                    <w:rStyle w:val="15"/>
                    <w:rFonts w:hint="eastAsia"/>
                  </w:rPr>
                  <w:t xml:space="preserve"> </w:t>
                </w:r>
                <w:r>
                  <w:rPr>
                    <w:rFonts w:ascii="宋体" w:hAnsi="宋体"/>
                    <w:sz w:val="28"/>
                    <w:szCs w:val="28"/>
                  </w:rPr>
                  <w:fldChar w:fldCharType="begin"/>
                </w:r>
                <w:r>
                  <w:rPr>
                    <w:rStyle w:val="15"/>
                    <w:rFonts w:ascii="宋体" w:hAnsi="宋体"/>
                    <w:sz w:val="28"/>
                    <w:szCs w:val="28"/>
                  </w:rPr>
                  <w:instrText xml:space="preserve">PAGE  </w:instrText>
                </w:r>
                <w:r>
                  <w:rPr>
                    <w:rFonts w:ascii="宋体" w:hAnsi="宋体"/>
                    <w:sz w:val="28"/>
                    <w:szCs w:val="28"/>
                  </w:rPr>
                  <w:fldChar w:fldCharType="separate"/>
                </w:r>
                <w:r>
                  <w:rPr>
                    <w:rStyle w:val="15"/>
                    <w:rFonts w:ascii="宋体" w:hAnsi="宋体"/>
                    <w:sz w:val="28"/>
                    <w:szCs w:val="28"/>
                  </w:rPr>
                  <w:t>1</w:t>
                </w:r>
                <w:r>
                  <w:rPr>
                    <w:rFonts w:ascii="宋体" w:hAnsi="宋体"/>
                    <w:sz w:val="28"/>
                    <w:szCs w:val="28"/>
                  </w:rPr>
                  <w:fldChar w:fldCharType="end"/>
                </w:r>
                <w:r>
                  <w:rPr>
                    <w:rStyle w:val="15"/>
                    <w:rFonts w:hint="eastAsia" w:ascii="宋体" w:hAnsi="宋体"/>
                    <w:sz w:val="28"/>
                    <w:szCs w:val="28"/>
                  </w:rPr>
                  <w:t xml:space="preserve"> —</w:t>
                </w:r>
              </w:p>
            </w:txbxContent>
          </v:textbox>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ascii="Calibri" w:hAnsi="Calibri" w:eastAsia="宋体" w:cs="黑体"/>
        <w:kern w:val="2"/>
        <w:sz w:val="18"/>
        <w:szCs w:val="24"/>
        <w:lang w:val="en-US" w:eastAsia="zh-CN" w:bidi="ar-SA"/>
      </w:rPr>
      <w:pict>
        <v:rect id="_x0000_s2052" o:spid="_x0000_s2052" o:spt="1" style="position:absolute;left:0pt;margin-top:0pt;height:144pt;width:144pt;mso-position-horizontal:outside;mso-position-horizontal-relative:margin;mso-wrap-style:none;z-index:251662336;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rPr>
                    <w:rFonts w:hint="eastAsia"/>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6</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rect>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ascii="Calibri" w:hAnsi="Calibri" w:eastAsia="宋体" w:cs="黑体"/>
        <w:kern w:val="2"/>
        <w:sz w:val="18"/>
        <w:szCs w:val="24"/>
        <w:lang w:val="en-US" w:eastAsia="zh-CN" w:bidi="ar-SA"/>
      </w:rPr>
      <w:pict>
        <v:rect id="矩形 4" o:spid="_x0000_s2050" o:spt="1" style="position:absolute;left:0pt;margin-top:0pt;height:144pt;width:144pt;mso-position-horizontal:outside;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rPr>
                    <w:rFonts w:hint="eastAsia"/>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6</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rect>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OTU1ZDYyYjg0NmQ2OGIxMzg4Yjc5OTFiYzM0ZDZjNzcifQ=="/>
  </w:docVars>
  <w:rsids>
    <w:rsidRoot w:val="00655D5D"/>
    <w:rsid w:val="000224C4"/>
    <w:rsid w:val="00031DCB"/>
    <w:rsid w:val="00044F52"/>
    <w:rsid w:val="00057580"/>
    <w:rsid w:val="00067452"/>
    <w:rsid w:val="00075F6B"/>
    <w:rsid w:val="0008189D"/>
    <w:rsid w:val="00095786"/>
    <w:rsid w:val="000A1F55"/>
    <w:rsid w:val="000B1E40"/>
    <w:rsid w:val="000B4F75"/>
    <w:rsid w:val="000C0F23"/>
    <w:rsid w:val="000D27E0"/>
    <w:rsid w:val="000E2195"/>
    <w:rsid w:val="000E6EC7"/>
    <w:rsid w:val="000F3379"/>
    <w:rsid w:val="00100B32"/>
    <w:rsid w:val="001110AE"/>
    <w:rsid w:val="00116152"/>
    <w:rsid w:val="0013370B"/>
    <w:rsid w:val="00133D08"/>
    <w:rsid w:val="00141396"/>
    <w:rsid w:val="001566AC"/>
    <w:rsid w:val="001654F1"/>
    <w:rsid w:val="0017627F"/>
    <w:rsid w:val="001937B8"/>
    <w:rsid w:val="00197F2A"/>
    <w:rsid w:val="001E7526"/>
    <w:rsid w:val="002018AF"/>
    <w:rsid w:val="002151E8"/>
    <w:rsid w:val="00216AA8"/>
    <w:rsid w:val="00247427"/>
    <w:rsid w:val="00250E45"/>
    <w:rsid w:val="002537A2"/>
    <w:rsid w:val="002705E7"/>
    <w:rsid w:val="00275817"/>
    <w:rsid w:val="00282972"/>
    <w:rsid w:val="00293AED"/>
    <w:rsid w:val="002A68F3"/>
    <w:rsid w:val="002A6E48"/>
    <w:rsid w:val="002E5C9A"/>
    <w:rsid w:val="00310E22"/>
    <w:rsid w:val="00316D9B"/>
    <w:rsid w:val="0032042E"/>
    <w:rsid w:val="00325393"/>
    <w:rsid w:val="00331A54"/>
    <w:rsid w:val="003321EC"/>
    <w:rsid w:val="003561E0"/>
    <w:rsid w:val="00374B3D"/>
    <w:rsid w:val="00395125"/>
    <w:rsid w:val="003B41EB"/>
    <w:rsid w:val="003C656E"/>
    <w:rsid w:val="003F294A"/>
    <w:rsid w:val="00404F52"/>
    <w:rsid w:val="0042283C"/>
    <w:rsid w:val="00426096"/>
    <w:rsid w:val="0042648A"/>
    <w:rsid w:val="0045251A"/>
    <w:rsid w:val="0046042E"/>
    <w:rsid w:val="00472575"/>
    <w:rsid w:val="00487A9E"/>
    <w:rsid w:val="00491569"/>
    <w:rsid w:val="004B297E"/>
    <w:rsid w:val="004B51E9"/>
    <w:rsid w:val="004B5644"/>
    <w:rsid w:val="004E68D1"/>
    <w:rsid w:val="0050220F"/>
    <w:rsid w:val="005124E6"/>
    <w:rsid w:val="005434AB"/>
    <w:rsid w:val="005538C7"/>
    <w:rsid w:val="00556994"/>
    <w:rsid w:val="005653F2"/>
    <w:rsid w:val="005743B8"/>
    <w:rsid w:val="0058128F"/>
    <w:rsid w:val="0059542B"/>
    <w:rsid w:val="0059785A"/>
    <w:rsid w:val="005A5D86"/>
    <w:rsid w:val="005A709C"/>
    <w:rsid w:val="005B3709"/>
    <w:rsid w:val="005B46B1"/>
    <w:rsid w:val="005D0C7C"/>
    <w:rsid w:val="005F1A58"/>
    <w:rsid w:val="00607A65"/>
    <w:rsid w:val="00617F9A"/>
    <w:rsid w:val="006277B7"/>
    <w:rsid w:val="0063185E"/>
    <w:rsid w:val="00632574"/>
    <w:rsid w:val="00633C34"/>
    <w:rsid w:val="006350E6"/>
    <w:rsid w:val="00643933"/>
    <w:rsid w:val="00655D5D"/>
    <w:rsid w:val="006A3C69"/>
    <w:rsid w:val="006B560D"/>
    <w:rsid w:val="006B5CD1"/>
    <w:rsid w:val="006D0B32"/>
    <w:rsid w:val="006E7700"/>
    <w:rsid w:val="007106CE"/>
    <w:rsid w:val="00724486"/>
    <w:rsid w:val="00725920"/>
    <w:rsid w:val="007304ED"/>
    <w:rsid w:val="007438C4"/>
    <w:rsid w:val="00770A10"/>
    <w:rsid w:val="00785EB0"/>
    <w:rsid w:val="0079369F"/>
    <w:rsid w:val="00797C14"/>
    <w:rsid w:val="00797D38"/>
    <w:rsid w:val="007B2BD7"/>
    <w:rsid w:val="007B78BE"/>
    <w:rsid w:val="007C5F6D"/>
    <w:rsid w:val="007D2D56"/>
    <w:rsid w:val="007E2410"/>
    <w:rsid w:val="007F1180"/>
    <w:rsid w:val="007F2A22"/>
    <w:rsid w:val="00805463"/>
    <w:rsid w:val="00815B8E"/>
    <w:rsid w:val="0081709F"/>
    <w:rsid w:val="00823681"/>
    <w:rsid w:val="00827AC2"/>
    <w:rsid w:val="00834C05"/>
    <w:rsid w:val="0086518F"/>
    <w:rsid w:val="00865DA5"/>
    <w:rsid w:val="0087266B"/>
    <w:rsid w:val="00877A41"/>
    <w:rsid w:val="00883D27"/>
    <w:rsid w:val="008A3D6B"/>
    <w:rsid w:val="008C62AD"/>
    <w:rsid w:val="00906CB6"/>
    <w:rsid w:val="00915744"/>
    <w:rsid w:val="00935102"/>
    <w:rsid w:val="009446E1"/>
    <w:rsid w:val="00982D11"/>
    <w:rsid w:val="00994C53"/>
    <w:rsid w:val="009951DC"/>
    <w:rsid w:val="00997EB4"/>
    <w:rsid w:val="009D5622"/>
    <w:rsid w:val="00A15A25"/>
    <w:rsid w:val="00A37919"/>
    <w:rsid w:val="00A526A2"/>
    <w:rsid w:val="00A5571A"/>
    <w:rsid w:val="00A66DF4"/>
    <w:rsid w:val="00A770B6"/>
    <w:rsid w:val="00A87846"/>
    <w:rsid w:val="00A9189B"/>
    <w:rsid w:val="00A94294"/>
    <w:rsid w:val="00AA3D2B"/>
    <w:rsid w:val="00B31C91"/>
    <w:rsid w:val="00B36A2E"/>
    <w:rsid w:val="00B551E9"/>
    <w:rsid w:val="00B741E4"/>
    <w:rsid w:val="00BB7F50"/>
    <w:rsid w:val="00BC0770"/>
    <w:rsid w:val="00BC1437"/>
    <w:rsid w:val="00BC5D32"/>
    <w:rsid w:val="00BD1052"/>
    <w:rsid w:val="00BD6C64"/>
    <w:rsid w:val="00BF2843"/>
    <w:rsid w:val="00BF66B2"/>
    <w:rsid w:val="00C07F85"/>
    <w:rsid w:val="00C12C64"/>
    <w:rsid w:val="00C20382"/>
    <w:rsid w:val="00C21A5E"/>
    <w:rsid w:val="00C276B4"/>
    <w:rsid w:val="00C309A7"/>
    <w:rsid w:val="00C35BB9"/>
    <w:rsid w:val="00C40CFA"/>
    <w:rsid w:val="00C72689"/>
    <w:rsid w:val="00C75055"/>
    <w:rsid w:val="00CB0520"/>
    <w:rsid w:val="00CB36C7"/>
    <w:rsid w:val="00CB5407"/>
    <w:rsid w:val="00CC7D33"/>
    <w:rsid w:val="00CD4952"/>
    <w:rsid w:val="00CD6AD1"/>
    <w:rsid w:val="00CF070D"/>
    <w:rsid w:val="00D04B4D"/>
    <w:rsid w:val="00D0771F"/>
    <w:rsid w:val="00D245B9"/>
    <w:rsid w:val="00D3507D"/>
    <w:rsid w:val="00D4268B"/>
    <w:rsid w:val="00D43760"/>
    <w:rsid w:val="00D62272"/>
    <w:rsid w:val="00D63420"/>
    <w:rsid w:val="00D91902"/>
    <w:rsid w:val="00DD2DD3"/>
    <w:rsid w:val="00DD3190"/>
    <w:rsid w:val="00DE4CB4"/>
    <w:rsid w:val="00E007A6"/>
    <w:rsid w:val="00E01E7D"/>
    <w:rsid w:val="00E40611"/>
    <w:rsid w:val="00E62828"/>
    <w:rsid w:val="00E646E7"/>
    <w:rsid w:val="00E8061D"/>
    <w:rsid w:val="00E847B7"/>
    <w:rsid w:val="00E86484"/>
    <w:rsid w:val="00EA3755"/>
    <w:rsid w:val="00EB438C"/>
    <w:rsid w:val="00EC7DFC"/>
    <w:rsid w:val="00EE6AF7"/>
    <w:rsid w:val="00F0246D"/>
    <w:rsid w:val="00F06071"/>
    <w:rsid w:val="00F065BF"/>
    <w:rsid w:val="00F12C70"/>
    <w:rsid w:val="00F3698F"/>
    <w:rsid w:val="00F37487"/>
    <w:rsid w:val="00F61F08"/>
    <w:rsid w:val="00F62E59"/>
    <w:rsid w:val="00F65395"/>
    <w:rsid w:val="00F82617"/>
    <w:rsid w:val="00F92BA9"/>
    <w:rsid w:val="00F93AEF"/>
    <w:rsid w:val="00F95239"/>
    <w:rsid w:val="00F953F5"/>
    <w:rsid w:val="00FB356A"/>
    <w:rsid w:val="00FB528E"/>
    <w:rsid w:val="00FC20C5"/>
    <w:rsid w:val="00FC7E80"/>
    <w:rsid w:val="00FC7F49"/>
    <w:rsid w:val="00FE76B2"/>
    <w:rsid w:val="00FF44BC"/>
    <w:rsid w:val="00FF5A28"/>
    <w:rsid w:val="011D5517"/>
    <w:rsid w:val="015A00DC"/>
    <w:rsid w:val="01DF182D"/>
    <w:rsid w:val="04C36A7B"/>
    <w:rsid w:val="073B6053"/>
    <w:rsid w:val="07B06138"/>
    <w:rsid w:val="0C9C1D25"/>
    <w:rsid w:val="1039766E"/>
    <w:rsid w:val="10C64DA9"/>
    <w:rsid w:val="110B5A55"/>
    <w:rsid w:val="11A04CF5"/>
    <w:rsid w:val="13737B75"/>
    <w:rsid w:val="13D13E04"/>
    <w:rsid w:val="147802B5"/>
    <w:rsid w:val="14D30442"/>
    <w:rsid w:val="158C4711"/>
    <w:rsid w:val="17E74866"/>
    <w:rsid w:val="18405DF6"/>
    <w:rsid w:val="19771C1E"/>
    <w:rsid w:val="1AF22336"/>
    <w:rsid w:val="1B050812"/>
    <w:rsid w:val="1C0A16D8"/>
    <w:rsid w:val="1EAE3BD9"/>
    <w:rsid w:val="242636E9"/>
    <w:rsid w:val="25427747"/>
    <w:rsid w:val="25E76661"/>
    <w:rsid w:val="266459EB"/>
    <w:rsid w:val="296A5EFB"/>
    <w:rsid w:val="2AFC2531"/>
    <w:rsid w:val="2C6415B1"/>
    <w:rsid w:val="2CEA7CBB"/>
    <w:rsid w:val="2D0276A4"/>
    <w:rsid w:val="2D44706A"/>
    <w:rsid w:val="2D5C5C6C"/>
    <w:rsid w:val="31862801"/>
    <w:rsid w:val="320C42FD"/>
    <w:rsid w:val="368E430F"/>
    <w:rsid w:val="37F3035D"/>
    <w:rsid w:val="3AB538B6"/>
    <w:rsid w:val="3C262674"/>
    <w:rsid w:val="3DDF2AD9"/>
    <w:rsid w:val="3F715015"/>
    <w:rsid w:val="400241D4"/>
    <w:rsid w:val="40D90A58"/>
    <w:rsid w:val="45693211"/>
    <w:rsid w:val="473522FA"/>
    <w:rsid w:val="48770BB5"/>
    <w:rsid w:val="4AB74A72"/>
    <w:rsid w:val="4AB75DE0"/>
    <w:rsid w:val="4B3D159D"/>
    <w:rsid w:val="4B446500"/>
    <w:rsid w:val="4DA005C9"/>
    <w:rsid w:val="4E7A3169"/>
    <w:rsid w:val="4EB96229"/>
    <w:rsid w:val="51586A2B"/>
    <w:rsid w:val="51A114F5"/>
    <w:rsid w:val="52D721B3"/>
    <w:rsid w:val="566F44DF"/>
    <w:rsid w:val="568871F4"/>
    <w:rsid w:val="57BB7949"/>
    <w:rsid w:val="58A337D7"/>
    <w:rsid w:val="59B2310F"/>
    <w:rsid w:val="5B2E078B"/>
    <w:rsid w:val="5CAE0E2E"/>
    <w:rsid w:val="5DB06C47"/>
    <w:rsid w:val="5DBF6525"/>
    <w:rsid w:val="5E3DB7CD"/>
    <w:rsid w:val="5E546D5E"/>
    <w:rsid w:val="5E595CBB"/>
    <w:rsid w:val="5E5B2F7B"/>
    <w:rsid w:val="5F343D44"/>
    <w:rsid w:val="6182207B"/>
    <w:rsid w:val="622904DF"/>
    <w:rsid w:val="625C231C"/>
    <w:rsid w:val="648F4BE3"/>
    <w:rsid w:val="64EE06A2"/>
    <w:rsid w:val="651F535C"/>
    <w:rsid w:val="686448BD"/>
    <w:rsid w:val="69E32015"/>
    <w:rsid w:val="6A9A5D9A"/>
    <w:rsid w:val="6C267125"/>
    <w:rsid w:val="6CCD6DB3"/>
    <w:rsid w:val="6DA44EE6"/>
    <w:rsid w:val="6DFCD1CD"/>
    <w:rsid w:val="6E6E58D4"/>
    <w:rsid w:val="6FB36DE7"/>
    <w:rsid w:val="6FF75552"/>
    <w:rsid w:val="70425941"/>
    <w:rsid w:val="71EAFD54"/>
    <w:rsid w:val="731E536E"/>
    <w:rsid w:val="77C3197B"/>
    <w:rsid w:val="7858287C"/>
    <w:rsid w:val="78E639F7"/>
    <w:rsid w:val="79237199"/>
    <w:rsid w:val="797E2581"/>
    <w:rsid w:val="7ABF5BED"/>
    <w:rsid w:val="7B184E8D"/>
    <w:rsid w:val="7DB85D02"/>
    <w:rsid w:val="7F254FC2"/>
    <w:rsid w:val="7F5B0CC6"/>
    <w:rsid w:val="8F9F7E44"/>
    <w:rsid w:val="9EEF2B50"/>
    <w:rsid w:val="BFFFBF99"/>
    <w:rsid w:val="DDEF6354"/>
    <w:rsid w:val="E6F60C0D"/>
    <w:rsid w:val="ED7B642A"/>
    <w:rsid w:val="F2FBB975"/>
    <w:rsid w:val="FAFE79EE"/>
    <w:rsid w:val="FB2FB5AE"/>
    <w:rsid w:val="FE078BDA"/>
    <w:rsid w:val="FFFF4273"/>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qFormat="1" w:uiPriority="99" w:semiHidden="0" w:name="Salutation" w:locked="1"/>
    <w:lsdException w:qFormat="1" w:unhideWhenUsed="0" w:uiPriority="99" w:semiHidden="0" w:name="Date"/>
    <w:lsdException w:uiPriority="99" w:name="Body Text First Indent" w:locked="1"/>
    <w:lsdException w:qFormat="1" w:unhideWhenUsed="0" w:uiPriority="99" w:semiHidden="0" w:name="Body Text First Indent 2"/>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17"/>
    <w:qFormat/>
    <w:uiPriority w:val="99"/>
    <w:pPr>
      <w:keepNext/>
      <w:keepLines/>
      <w:spacing w:line="560" w:lineRule="exact"/>
      <w:jc w:val="center"/>
      <w:outlineLvl w:val="0"/>
    </w:pPr>
    <w:rPr>
      <w:rFonts w:eastAsia="方正小标宋简体"/>
      <w:kern w:val="44"/>
      <w:sz w:val="36"/>
      <w:szCs w:val="36"/>
    </w:rPr>
  </w:style>
  <w:style w:type="character" w:default="1" w:styleId="14">
    <w:name w:val="Default Paragraph Font"/>
    <w:semiHidden/>
    <w:qFormat/>
    <w:uiPriority w:val="99"/>
  </w:style>
  <w:style w:type="table" w:default="1" w:styleId="12">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1"/>
    <w:link w:val="19"/>
    <w:qFormat/>
    <w:uiPriority w:val="99"/>
    <w:pPr>
      <w:ind w:left="200" w:firstLine="200" w:firstLineChars="200"/>
    </w:pPr>
  </w:style>
  <w:style w:type="paragraph" w:styleId="3">
    <w:name w:val="Body Text Indent"/>
    <w:basedOn w:val="1"/>
    <w:link w:val="18"/>
    <w:qFormat/>
    <w:uiPriority w:val="99"/>
    <w:pPr>
      <w:spacing w:before="100" w:beforeAutospacing="1" w:after="120"/>
      <w:ind w:left="420" w:leftChars="200"/>
    </w:pPr>
    <w:rPr>
      <w:rFonts w:ascii="??" w:hAnsi="??" w:cs="??"/>
    </w:rPr>
  </w:style>
  <w:style w:type="paragraph" w:styleId="5">
    <w:name w:val="Salutation"/>
    <w:basedOn w:val="1"/>
    <w:next w:val="1"/>
    <w:unhideWhenUsed/>
    <w:qFormat/>
    <w:locked/>
    <w:uiPriority w:val="99"/>
  </w:style>
  <w:style w:type="paragraph" w:styleId="6">
    <w:name w:val="Plain Text"/>
    <w:basedOn w:val="1"/>
    <w:link w:val="20"/>
    <w:qFormat/>
    <w:uiPriority w:val="99"/>
    <w:rPr>
      <w:rFonts w:ascii="??" w:hAnsi="Courier New" w:eastAsia="Times New Roman" w:cs="??"/>
    </w:rPr>
  </w:style>
  <w:style w:type="paragraph" w:styleId="7">
    <w:name w:val="Date"/>
    <w:basedOn w:val="1"/>
    <w:next w:val="1"/>
    <w:link w:val="21"/>
    <w:qFormat/>
    <w:uiPriority w:val="99"/>
    <w:pPr>
      <w:ind w:left="100" w:leftChars="2500"/>
    </w:pPr>
  </w:style>
  <w:style w:type="paragraph" w:styleId="8">
    <w:name w:val="Balloon Text"/>
    <w:basedOn w:val="1"/>
    <w:next w:val="9"/>
    <w:link w:val="22"/>
    <w:semiHidden/>
    <w:qFormat/>
    <w:uiPriority w:val="99"/>
    <w:rPr>
      <w:sz w:val="18"/>
      <w:szCs w:val="18"/>
    </w:rPr>
  </w:style>
  <w:style w:type="paragraph" w:styleId="9">
    <w:name w:val="footer"/>
    <w:basedOn w:val="1"/>
    <w:link w:val="23"/>
    <w:qFormat/>
    <w:uiPriority w:val="99"/>
    <w:pPr>
      <w:tabs>
        <w:tab w:val="center" w:pos="4153"/>
        <w:tab w:val="right" w:pos="8306"/>
      </w:tabs>
      <w:snapToGrid w:val="0"/>
      <w:jc w:val="left"/>
    </w:pPr>
    <w:rPr>
      <w:sz w:val="18"/>
      <w:szCs w:val="18"/>
    </w:rPr>
  </w:style>
  <w:style w:type="paragraph" w:styleId="10">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spacing w:before="100" w:beforeAutospacing="1" w:after="100" w:afterAutospacing="1"/>
      <w:jc w:val="left"/>
    </w:pPr>
    <w:rPr>
      <w:kern w:val="0"/>
      <w:sz w:val="24"/>
      <w:szCs w:val="24"/>
    </w:rPr>
  </w:style>
  <w:style w:type="table" w:styleId="13">
    <w:name w:val="Table Grid"/>
    <w:basedOn w:val="12"/>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basedOn w:val="14"/>
    <w:qFormat/>
    <w:uiPriority w:val="99"/>
  </w:style>
  <w:style w:type="character" w:styleId="16">
    <w:name w:val="Hyperlink"/>
    <w:basedOn w:val="14"/>
    <w:qFormat/>
    <w:uiPriority w:val="99"/>
    <w:rPr>
      <w:color w:val="0000FF"/>
      <w:u w:val="single"/>
    </w:rPr>
  </w:style>
  <w:style w:type="character" w:customStyle="1" w:styleId="17">
    <w:name w:val="Heading 1 Char"/>
    <w:basedOn w:val="14"/>
    <w:link w:val="4"/>
    <w:qFormat/>
    <w:locked/>
    <w:uiPriority w:val="99"/>
    <w:rPr>
      <w:b/>
      <w:bCs/>
      <w:kern w:val="44"/>
      <w:sz w:val="44"/>
      <w:szCs w:val="44"/>
    </w:rPr>
  </w:style>
  <w:style w:type="character" w:customStyle="1" w:styleId="18">
    <w:name w:val="Body Text Indent Char"/>
    <w:basedOn w:val="14"/>
    <w:link w:val="3"/>
    <w:semiHidden/>
    <w:qFormat/>
    <w:locked/>
    <w:uiPriority w:val="99"/>
    <w:rPr>
      <w:sz w:val="21"/>
      <w:szCs w:val="21"/>
    </w:rPr>
  </w:style>
  <w:style w:type="character" w:customStyle="1" w:styleId="19">
    <w:name w:val="Body Text First Indent 2 Char"/>
    <w:basedOn w:val="18"/>
    <w:link w:val="2"/>
    <w:semiHidden/>
    <w:qFormat/>
    <w:locked/>
    <w:uiPriority w:val="99"/>
  </w:style>
  <w:style w:type="character" w:customStyle="1" w:styleId="20">
    <w:name w:val="Plain Text Char"/>
    <w:basedOn w:val="14"/>
    <w:link w:val="6"/>
    <w:semiHidden/>
    <w:qFormat/>
    <w:locked/>
    <w:uiPriority w:val="99"/>
    <w:rPr>
      <w:rFonts w:ascii="??" w:hAnsi="Courier New" w:cs="??"/>
      <w:sz w:val="21"/>
      <w:szCs w:val="21"/>
    </w:rPr>
  </w:style>
  <w:style w:type="character" w:customStyle="1" w:styleId="21">
    <w:name w:val="Date Char"/>
    <w:basedOn w:val="14"/>
    <w:link w:val="7"/>
    <w:semiHidden/>
    <w:qFormat/>
    <w:locked/>
    <w:uiPriority w:val="99"/>
    <w:rPr>
      <w:sz w:val="21"/>
      <w:szCs w:val="21"/>
    </w:rPr>
  </w:style>
  <w:style w:type="character" w:customStyle="1" w:styleId="22">
    <w:name w:val="Balloon Text Char"/>
    <w:basedOn w:val="14"/>
    <w:link w:val="8"/>
    <w:semiHidden/>
    <w:qFormat/>
    <w:locked/>
    <w:uiPriority w:val="99"/>
    <w:rPr>
      <w:sz w:val="2"/>
      <w:szCs w:val="2"/>
    </w:rPr>
  </w:style>
  <w:style w:type="character" w:customStyle="1" w:styleId="23">
    <w:name w:val="Footer Char"/>
    <w:basedOn w:val="14"/>
    <w:link w:val="9"/>
    <w:semiHidden/>
    <w:qFormat/>
    <w:locked/>
    <w:uiPriority w:val="99"/>
    <w:rPr>
      <w:rFonts w:eastAsia="Times New Roman"/>
      <w:kern w:val="2"/>
      <w:sz w:val="18"/>
      <w:szCs w:val="18"/>
      <w:lang w:val="en-US" w:eastAsia="zh-CN"/>
    </w:rPr>
  </w:style>
  <w:style w:type="character" w:customStyle="1" w:styleId="24">
    <w:name w:val="Header Char"/>
    <w:basedOn w:val="14"/>
    <w:link w:val="10"/>
    <w:semiHidden/>
    <w:qFormat/>
    <w:locked/>
    <w:uiPriority w:val="99"/>
    <w:rPr>
      <w:sz w:val="18"/>
      <w:szCs w:val="18"/>
    </w:rPr>
  </w:style>
  <w:style w:type="character" w:customStyle="1" w:styleId="25">
    <w:name w:val="Char Char"/>
    <w:basedOn w:val="14"/>
    <w:qFormat/>
    <w:uiPriority w:val="99"/>
    <w:rPr>
      <w:kern w:val="2"/>
      <w:sz w:val="18"/>
      <w:szCs w:val="18"/>
    </w:rPr>
  </w:style>
  <w:style w:type="character" w:customStyle="1" w:styleId="26">
    <w:name w:val="font11"/>
    <w:basedOn w:val="14"/>
    <w:qFormat/>
    <w:uiPriority w:val="99"/>
    <w:rPr>
      <w:rFonts w:ascii="??" w:hAnsi="??" w:eastAsia="Times New Roman" w:cs="??"/>
      <w:color w:val="000000"/>
      <w:sz w:val="24"/>
      <w:szCs w:val="24"/>
      <w:u w:val="none"/>
    </w:rPr>
  </w:style>
  <w:style w:type="character" w:customStyle="1" w:styleId="27">
    <w:name w:val="16"/>
    <w:qFormat/>
    <w:uiPriority w:val="99"/>
    <w:rPr>
      <w:rFonts w:ascii="宋体" w:eastAsia="宋体" w:cs="宋体"/>
      <w:color w:val="auto"/>
      <w:sz w:val="22"/>
      <w:szCs w:val="22"/>
    </w:rPr>
  </w:style>
  <w:style w:type="character" w:customStyle="1" w:styleId="28">
    <w:name w:val="font61"/>
    <w:basedOn w:val="14"/>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1"/>
    <customShpInfo spid="_x0000_s2052"/>
    <customShpInfo spid="_x0000_s2050"/>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微软中国</Company>
  <Pages>9</Pages>
  <Words>3562</Words>
  <Characters>3723</Characters>
  <Lines>0</Lines>
  <Paragraphs>0</Paragraphs>
  <TotalTime>9</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2024-06-06T07:46:00Z</dcterms:created>
  <dc:creator>微软用户</dc:creator>
  <cp:lastModifiedBy>谢夏媛</cp:lastModifiedBy>
  <cp:lastPrinted>2025-08-27T07:57:00Z</cp:lastPrinted>
  <dcterms:modified xsi:type="dcterms:W3CDTF">2025-08-27T08:27:14Z</dcterms:modified>
  <dc:title>关于申请拨付死亡一次性抚恤金等费用的报告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E9660356679E472CA9D41C89CDF0EB61</vt:lpwstr>
  </property>
  <property fmtid="{D5CDD505-2E9C-101B-9397-08002B2CF9AE}" pid="4" name="KSOTemplateDocerSaveRecord">
    <vt:lpwstr>eyJoZGlkIjoiOTBjYjUxNjA4YjE5MTlkNmExNjI2NmQ2MmZmOGY3YzEifQ==</vt:lpwstr>
  </property>
</Properties>
</file>