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80" w:lineRule="exact"/>
        <w:ind w:right="-23"/>
        <w:jc w:val="right"/>
        <w:rPr>
          <w:rFonts w:hint="eastAsia" w:ascii="方正小标宋简体" w:eastAsia="仿宋_GB2312"/>
          <w:sz w:val="44"/>
          <w:szCs w:val="44"/>
          <w:lang w:eastAsia="zh-CN"/>
        </w:rPr>
      </w:pPr>
      <w:r>
        <w:rPr>
          <w:rFonts w:hint="eastAsia" w:ascii="仿宋_GB2312" w:eastAsia="仿宋_GB2312"/>
          <w:sz w:val="32"/>
          <w:szCs w:val="32"/>
        </w:rPr>
        <w:t xml:space="preserve"> LY00120-</w:t>
      </w:r>
      <w:r>
        <w:rPr>
          <w:rFonts w:hint="eastAsia" w:ascii="仿宋_GB2312" w:eastAsia="仿宋_GB2312"/>
          <w:sz w:val="32"/>
          <w:szCs w:val="32"/>
          <w:lang w:val="en-US" w:eastAsia="zh-CN"/>
        </w:rPr>
        <w:t>02</w:t>
      </w:r>
      <w:r>
        <w:rPr>
          <w:rFonts w:hint="eastAsia" w:ascii="仿宋_GB2312" w:eastAsia="仿宋_GB2312"/>
          <w:sz w:val="32"/>
          <w:szCs w:val="32"/>
        </w:rPr>
        <w:t>00-2022-0000</w:t>
      </w:r>
      <w:r>
        <w:rPr>
          <w:rFonts w:hint="eastAsia" w:ascii="仿宋_GB2312" w:eastAsia="仿宋_GB2312"/>
          <w:sz w:val="32"/>
          <w:szCs w:val="32"/>
          <w:lang w:val="en-US" w:eastAsia="zh-CN"/>
        </w:rPr>
        <w:t>3</w:t>
      </w:r>
    </w:p>
    <w:p>
      <w:pPr>
        <w:spacing w:line="600" w:lineRule="exact"/>
        <w:jc w:val="center"/>
        <w:rPr>
          <w:rFonts w:hint="eastAsia" w:ascii="方正小标宋简体" w:eastAsia="方正小标宋简体"/>
          <w:sz w:val="44"/>
          <w:szCs w:val="44"/>
        </w:rPr>
      </w:pPr>
    </w:p>
    <w:p>
      <w:pPr>
        <w:spacing w:line="600" w:lineRule="exact"/>
        <w:jc w:val="center"/>
        <w:rPr>
          <w:rFonts w:hint="eastAsia" w:ascii="方正小标宋简体" w:eastAsia="方正小标宋简体"/>
          <w:sz w:val="44"/>
          <w:szCs w:val="44"/>
        </w:rPr>
      </w:pPr>
    </w:p>
    <w:p>
      <w:pPr>
        <w:spacing w:line="700" w:lineRule="exact"/>
        <w:jc w:val="center"/>
        <w:rPr>
          <w:rFonts w:hint="eastAsia" w:ascii="方正小标宋简体" w:eastAsia="方正小标宋简体"/>
          <w:sz w:val="44"/>
          <w:szCs w:val="44"/>
        </w:rPr>
      </w:pPr>
    </w:p>
    <w:p>
      <w:pPr>
        <w:spacing w:line="600" w:lineRule="exact"/>
        <w:jc w:val="center"/>
        <w:rPr>
          <w:rFonts w:hint="eastAsia" w:ascii="方正小标宋简体" w:eastAsia="方正小标宋简体"/>
          <w:sz w:val="44"/>
          <w:szCs w:val="44"/>
        </w:rPr>
      </w:pPr>
    </w:p>
    <w:p>
      <w:pPr>
        <w:spacing w:line="600" w:lineRule="exact"/>
        <w:jc w:val="center"/>
        <w:rPr>
          <w:rFonts w:hint="eastAsia" w:ascii="方正小标宋简体" w:eastAsia="方正小标宋简体"/>
          <w:sz w:val="44"/>
          <w:szCs w:val="44"/>
        </w:rPr>
      </w:pPr>
    </w:p>
    <w:p>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方正小标宋简体" w:eastAsia="方正小标宋简体"/>
          <w:sz w:val="44"/>
          <w:szCs w:val="44"/>
        </w:rPr>
      </w:pPr>
    </w:p>
    <w:p>
      <w:pPr>
        <w:spacing w:line="600" w:lineRule="exact"/>
        <w:jc w:val="center"/>
        <w:rPr>
          <w:rFonts w:hint="eastAsia" w:ascii="仿宋_GB2312" w:eastAsia="仿宋_GB2312"/>
          <w:sz w:val="32"/>
          <w:szCs w:val="32"/>
        </w:rPr>
      </w:pPr>
      <w:r>
        <w:rPr>
          <w:rFonts w:hint="eastAsia" w:ascii="仿宋_GB2312" w:eastAsia="仿宋_GB2312"/>
          <w:sz w:val="32"/>
          <w:szCs w:val="32"/>
        </w:rPr>
        <w:t>龙农</w:t>
      </w:r>
      <w:r>
        <w:rPr>
          <w:rFonts w:hint="eastAsia" w:ascii="仿宋_GB2312" w:eastAsia="仿宋_GB2312"/>
          <w:sz w:val="32"/>
          <w:szCs w:val="32"/>
          <w:lang w:eastAsia="zh-CN"/>
        </w:rPr>
        <w:t>规</w:t>
      </w:r>
      <w:r>
        <w:rPr>
          <w:rFonts w:hint="eastAsia" w:ascii="仿宋_GB2312" w:eastAsia="仿宋_GB2312"/>
          <w:sz w:val="32"/>
          <w:szCs w:val="32"/>
        </w:rPr>
        <w:t>〔202</w:t>
      </w:r>
      <w:r>
        <w:rPr>
          <w:rFonts w:hint="eastAsia" w:ascii="仿宋_GB2312" w:eastAsia="仿宋_GB2312"/>
          <w:sz w:val="32"/>
          <w:szCs w:val="32"/>
          <w:lang w:val="en-US" w:eastAsia="zh-CN"/>
        </w:rPr>
        <w:t>2</w:t>
      </w:r>
      <w:r>
        <w:rPr>
          <w:rFonts w:hint="eastAsia" w:ascii="仿宋_GB2312" w:eastAsia="仿宋_GB2312"/>
          <w:sz w:val="32"/>
          <w:szCs w:val="32"/>
        </w:rPr>
        <w:t>〕</w:t>
      </w:r>
      <w:r>
        <w:rPr>
          <w:rFonts w:hint="eastAsia" w:ascii="仿宋_GB2312" w:eastAsia="仿宋_GB2312"/>
          <w:sz w:val="32"/>
          <w:szCs w:val="32"/>
          <w:lang w:val="en-US" w:eastAsia="zh-CN"/>
        </w:rPr>
        <w:t>3</w:t>
      </w:r>
      <w:r>
        <w:rPr>
          <w:rFonts w:hint="eastAsia" w:ascii="仿宋_GB2312" w:eastAsia="仿宋_GB2312"/>
          <w:sz w:val="32"/>
          <w:szCs w:val="32"/>
        </w:rPr>
        <w:t>号</w:t>
      </w:r>
    </w:p>
    <w:p>
      <w:pPr>
        <w:pStyle w:val="2"/>
        <w:keepNext w:val="0"/>
        <w:keepLines w:val="0"/>
        <w:pageBreakBefore w:val="0"/>
        <w:kinsoku/>
        <w:wordWrap/>
        <w:overflowPunct/>
        <w:topLinePunct w:val="0"/>
        <w:autoSpaceDE/>
        <w:autoSpaceDN/>
        <w:bidi w:val="0"/>
        <w:adjustRightInd/>
        <w:snapToGrid/>
        <w:spacing w:after="0" w:line="700" w:lineRule="exact"/>
        <w:textAlignment w:val="auto"/>
        <w:rPr>
          <w:rFonts w:hint="eastAsia"/>
        </w:rPr>
      </w:pP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ascii="方正小标宋简体" w:hAnsi="方正小标宋简体" w:eastAsia="方正小标宋简体"/>
          <w:sz w:val="44"/>
        </w:rPr>
      </w:pPr>
      <w:r>
        <w:rPr>
          <w:rFonts w:hint="eastAsia" w:ascii="方正小标宋简体" w:hAnsi="方正小标宋简体" w:eastAsia="方正小标宋简体"/>
          <w:sz w:val="44"/>
        </w:rPr>
        <w:t>龙</w:t>
      </w:r>
      <w:r>
        <w:rPr>
          <w:rFonts w:ascii="方正小标宋简体" w:hAnsi="方正小标宋简体" w:eastAsia="方正小标宋简体"/>
          <w:sz w:val="44"/>
        </w:rPr>
        <w:t>岩市农业农村局</w:t>
      </w:r>
      <w:r>
        <w:rPr>
          <w:rFonts w:hint="eastAsia" w:ascii="方正小标宋简体" w:hAnsi="方正小标宋简体" w:eastAsia="方正小标宋简体"/>
          <w:sz w:val="44"/>
        </w:rPr>
        <w:t xml:space="preserve"> </w:t>
      </w:r>
      <w:r>
        <w:rPr>
          <w:rFonts w:hint="eastAsia" w:ascii="方正小标宋简体" w:hAnsi="方正小标宋简体" w:eastAsia="方正小标宋简体"/>
          <w:sz w:val="44"/>
          <w:lang w:val="en-US" w:eastAsia="zh-CN"/>
        </w:rPr>
        <w:t xml:space="preserve"> </w:t>
      </w:r>
      <w:r>
        <w:rPr>
          <w:rFonts w:hint="eastAsia" w:ascii="方正小标宋简体" w:hAnsi="方正小标宋简体" w:eastAsia="方正小标宋简体"/>
          <w:sz w:val="44"/>
        </w:rPr>
        <w:t>龙</w:t>
      </w:r>
      <w:r>
        <w:rPr>
          <w:rFonts w:ascii="方正小标宋简体" w:hAnsi="方正小标宋简体" w:eastAsia="方正小标宋简体"/>
          <w:sz w:val="44"/>
        </w:rPr>
        <w:t>岩市财政局</w:t>
      </w: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仿宋_GB2312" w:hAnsi="仿宋_GB2312" w:eastAsia="仿宋_GB2312" w:cs="仿宋_GB2312"/>
          <w:sz w:val="32"/>
          <w:szCs w:val="32"/>
        </w:rPr>
      </w:pPr>
      <w:r>
        <w:rPr>
          <w:rFonts w:ascii="方正小标宋简体" w:hAnsi="方正小标宋简体" w:eastAsia="方正小标宋简体"/>
          <w:sz w:val="44"/>
        </w:rPr>
        <w:t>关于印发《</w:t>
      </w:r>
      <w:r>
        <w:rPr>
          <w:rFonts w:hint="eastAsia" w:ascii="方正小标宋简体" w:hAnsi="方正小标宋简体" w:eastAsia="方正小标宋简体"/>
          <w:sz w:val="44"/>
        </w:rPr>
        <w:t>龙</w:t>
      </w:r>
      <w:r>
        <w:rPr>
          <w:rFonts w:ascii="方正小标宋简体" w:hAnsi="方正小标宋简体" w:eastAsia="方正小标宋简体"/>
          <w:sz w:val="44"/>
        </w:rPr>
        <w:t>岩市渔业互助保险方案》的通知</w:t>
      </w: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仿宋_GB2312" w:hAnsi="仿宋_GB2312" w:eastAsia="仿宋_GB2312" w:cs="仿宋_GB2312"/>
          <w:b w:val="0"/>
          <w:bCs w:val="0"/>
          <w:sz w:val="32"/>
          <w:szCs w:val="32"/>
        </w:rPr>
      </w:pP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各县（市、区）农业农村局、财政局：</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渔业互助保险是享受政府财政补贴的政策性保险，我市开展渔业互助保险工作以来取得了显著成效，促进了渔区的和谐稳定。为深入贯彻落实省委省政府部署要求，加快推进渔业保险“扩面、增品、提标”，有效化解渔业风险，为确保我市渔业风险得到有效保障，参加渔业互助保险的渔民和渔业生产企业受灾后依法及时得到补偿，各地要认真按照通知要求，全面落实、规范运作、扎实推进渔业互助保险工作。根据福建省海洋与渔业局、福建省财政厅关于印发《福建省渔业互助保险方案的通知》（闽海渔〔2022〕21号）精神，制定了《龙岩市渔业互助保险方案》，现印发给你们，请认真做好落实。有关事项通知如下:</w:t>
      </w: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 xml:space="preserve">    </w:t>
      </w:r>
      <w:r>
        <w:rPr>
          <w:rFonts w:hint="eastAsia" w:ascii="黑体" w:hAnsi="黑体" w:eastAsia="黑体" w:cs="黑体"/>
          <w:b w:val="0"/>
          <w:bCs w:val="0"/>
          <w:sz w:val="32"/>
          <w:szCs w:val="32"/>
        </w:rPr>
        <w:t>一、提高认识，加强领导</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要进一步加强对渔业互助保险工作的组织领导，认真组织、周密部署、广泛动员，将渔业互助保险列入渔业安全生产的一项重要工作纳入常态化管理。做到领导到位、工作到位、政策到位、资金到位、措施到位，积极有效作为，努力推动渔业互助保险事业扎实稳定向前发展。</w:t>
      </w: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 xml:space="preserve">    </w:t>
      </w:r>
      <w:r>
        <w:rPr>
          <w:rFonts w:hint="eastAsia" w:ascii="黑体" w:hAnsi="黑体" w:eastAsia="黑体" w:cs="黑体"/>
          <w:b w:val="0"/>
          <w:bCs w:val="0"/>
          <w:sz w:val="32"/>
          <w:szCs w:val="32"/>
        </w:rPr>
        <w:t>二、深入发动，广泛宣传</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要结合本地实际和渔业互助保险工作的特点，深入开展宣传活动，动员渔船船东、渔民和养殖户积极参加渔业互助保险；要多渠道、多层次、多角度广泛宣传渔业互助保险化解生产风险的作用，进一步增强渔区广大干部群众的风险防范意识和保险意识，提高渔民入会参保的积极性。</w:t>
      </w: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 xml:space="preserve">    </w:t>
      </w:r>
      <w:r>
        <w:rPr>
          <w:rFonts w:hint="eastAsia" w:ascii="黑体" w:hAnsi="黑体" w:eastAsia="黑体" w:cs="黑体"/>
          <w:b w:val="0"/>
          <w:bCs w:val="0"/>
          <w:sz w:val="32"/>
          <w:szCs w:val="32"/>
        </w:rPr>
        <w:t>三、强化协作，积极推进</w:t>
      </w: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 xml:space="preserve">    要在当地党委政府的领导下，切实落实渔业互助保险工作责任制，采取各种有效措施，确实把渔业互助保险工作落到实处，积极争取出台相关促进渔业互助保险工作发展的配套措施，努力推进渔业互助保险工作。</w:t>
      </w:r>
    </w:p>
    <w:p>
      <w:pPr>
        <w:keepNext w:val="0"/>
        <w:keepLines w:val="0"/>
        <w:pageBreakBefore w:val="0"/>
        <w:widowControl w:val="0"/>
        <w:kinsoku/>
        <w:wordWrap/>
        <w:overflowPunct/>
        <w:topLinePunct w:val="0"/>
        <w:autoSpaceDE/>
        <w:autoSpaceDN/>
        <w:bidi w:val="0"/>
        <w:adjustRightInd/>
        <w:snapToGrid/>
        <w:spacing w:line="580" w:lineRule="exact"/>
        <w:ind w:firstLine="645"/>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各县（市、区）渔业行政主管部门要与渔业乡镇、村建立和完善联合推进渔业互助保险工作机制；渔业行政主管部门和渔业互保机构要充分发挥扎根基层、贴近群众、服务渔民的优势，结合伏季休渔、渔业许可管理、渔船燃油补贴发放、安全生产监督检查等渔业管理工作，不断创新工作方法，积极推进渔业互助保险工作，最大限度将应保对象纳入渔业互保范畴。</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财政部门要将保费补贴政策与其他支农惠农政策有机结合，在认真贯彻省上精神的同时，我市渔船、渔工</w:t>
      </w:r>
      <w:r>
        <w:rPr>
          <w:rFonts w:hint="eastAsia" w:ascii="仿宋_GB2312" w:hAnsi="仿宋_GB2312" w:eastAsia="仿宋_GB2312" w:cs="仿宋_GB2312"/>
          <w:b w:val="0"/>
          <w:bCs w:val="0"/>
          <w:color w:val="000000"/>
          <w:sz w:val="32"/>
          <w:szCs w:val="32"/>
        </w:rPr>
        <w:t>保险</w:t>
      </w:r>
      <w:r>
        <w:rPr>
          <w:rFonts w:hint="eastAsia" w:ascii="仿宋_GB2312" w:hAnsi="仿宋_GB2312" w:eastAsia="仿宋_GB2312" w:cs="仿宋_GB2312"/>
          <w:b w:val="0"/>
          <w:bCs w:val="0"/>
          <w:sz w:val="32"/>
          <w:szCs w:val="32"/>
        </w:rPr>
        <w:t>保费市级财政补贴确定为5%，</w:t>
      </w:r>
      <w:r>
        <w:rPr>
          <w:rFonts w:hint="eastAsia" w:ascii="仿宋_GB2312" w:hAnsi="仿宋_GB2312" w:eastAsia="仿宋_GB2312" w:cs="仿宋_GB2312"/>
          <w:b w:val="0"/>
          <w:bCs w:val="0"/>
          <w:color w:val="000000"/>
          <w:sz w:val="32"/>
          <w:szCs w:val="32"/>
        </w:rPr>
        <w:t>水产养殖生物保险保费市级财政补贴确定为3%、县级财政补贴确定为7%</w:t>
      </w:r>
      <w:r>
        <w:rPr>
          <w:rFonts w:hint="eastAsia" w:ascii="仿宋_GB2312" w:hAnsi="仿宋_GB2312" w:eastAsia="仿宋_GB2312" w:cs="仿宋_GB2312"/>
          <w:b w:val="0"/>
          <w:bCs w:val="0"/>
          <w:sz w:val="32"/>
          <w:szCs w:val="32"/>
        </w:rPr>
        <w:t>，有条件的县（市、区）应安排一定的资金扶持（比率自定），进一步减轻渔民缴费压力。</w:t>
      </w: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 xml:space="preserve">    </w:t>
      </w:r>
      <w:r>
        <w:rPr>
          <w:rFonts w:hint="eastAsia" w:ascii="黑体" w:hAnsi="黑体" w:eastAsia="黑体" w:cs="黑体"/>
          <w:b w:val="0"/>
          <w:bCs w:val="0"/>
          <w:sz w:val="32"/>
          <w:szCs w:val="32"/>
        </w:rPr>
        <w:t>四、加强防灾，及时理赔</w:t>
      </w: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 xml:space="preserve">    各县（市、区）渔业行政主管部门要结合渔业互助保险工作，做好渔业安全生产知识普及和宣传工作，敦促渔民及时收听、收看天气预报等安全信息，引导渔民配备安全设施，增强渔民自救互救的意识和能力，科学防范渔业生产风险。同时，要做好灾后救助工作，灾情发生后，渔业行政主管部门要积极配合支持渔业互保协会迅速做好定损勘验和理赔服务工作。</w:t>
      </w: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 xml:space="preserve">    </w:t>
      </w:r>
      <w:r>
        <w:rPr>
          <w:rFonts w:hint="eastAsia" w:ascii="黑体" w:hAnsi="黑体" w:eastAsia="黑体" w:cs="黑体"/>
          <w:b w:val="0"/>
          <w:bCs w:val="0"/>
          <w:sz w:val="32"/>
          <w:szCs w:val="32"/>
        </w:rPr>
        <w:t>五、认真实施，</w:t>
      </w:r>
      <w:r>
        <w:rPr>
          <w:rFonts w:hint="eastAsia" w:ascii="黑体" w:hAnsi="黑体" w:eastAsia="黑体" w:cs="黑体"/>
          <w:b w:val="0"/>
          <w:bCs w:val="0"/>
          <w:color w:val="000000"/>
          <w:sz w:val="32"/>
          <w:szCs w:val="32"/>
        </w:rPr>
        <w:t>落实到位</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各县（市、区）渔业行政主管部门要高度重视，认真落实省海洋与渔业局有关渔业互助保险工作精神及省渔业互保协会的工作部署，全力支持配合省渔业互保协会龙岩市市营业部做好渔业互助保险工作，确保工作顺利开展。要认真总结渔业互助保险工作亮点和经验，及时向省局、市局和当地政府报送渔业互助保险工作开展情况和相关信息。</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本方案实施范围为龙岩市，自通知发布之日起生效，有效期为5年。在有效期内若《龙岩市渔业互助保险方案》内容有变动，以变动后的方案内容为准。</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b w:val="0"/>
          <w:bCs w:val="0"/>
          <w:sz w:val="32"/>
          <w:szCs w:val="32"/>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附件：龙岩市渔业互助保险方案</w:t>
      </w: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仿宋_GB2312" w:hAnsi="仿宋_GB2312" w:eastAsia="仿宋_GB2312" w:cs="仿宋_GB2312"/>
          <w:b w:val="0"/>
          <w:bCs w:val="0"/>
          <w:sz w:val="32"/>
          <w:szCs w:val="32"/>
        </w:rPr>
      </w:pP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仿宋_GB2312" w:hAnsi="仿宋_GB2312" w:eastAsia="仿宋_GB2312" w:cs="仿宋_GB2312"/>
          <w:b w:val="0"/>
          <w:bCs w:val="0"/>
          <w:sz w:val="32"/>
          <w:szCs w:val="32"/>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龙岩市农业农村局                 龙岩市财政局</w:t>
      </w:r>
    </w:p>
    <w:p>
      <w:pPr>
        <w:keepNext w:val="0"/>
        <w:keepLines w:val="0"/>
        <w:pageBreakBefore w:val="0"/>
        <w:widowControl w:val="0"/>
        <w:kinsoku/>
        <w:wordWrap/>
        <w:overflowPunct/>
        <w:topLinePunct w:val="0"/>
        <w:autoSpaceDE/>
        <w:autoSpaceDN/>
        <w:bidi w:val="0"/>
        <w:adjustRightInd/>
        <w:snapToGrid/>
        <w:spacing w:line="580" w:lineRule="exact"/>
        <w:ind w:firstLine="5760" w:firstLineChars="18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2022年7月4日</w:t>
      </w: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仿宋_GB2312" w:hAnsi="仿宋_GB2312" w:eastAsia="仿宋_GB2312" w:cs="仿宋_GB2312"/>
          <w:b w:val="0"/>
          <w:bCs w:val="0"/>
          <w:sz w:val="32"/>
          <w:szCs w:val="32"/>
        </w:rPr>
      </w:pPr>
    </w:p>
    <w:p>
      <w:pPr>
        <w:spacing w:line="540" w:lineRule="exact"/>
        <w:rPr>
          <w:rFonts w:hint="eastAsia" w:ascii="仿宋_GB2312" w:hAnsi="楷体" w:eastAsia="仿宋_GB2312" w:cs="楷体"/>
          <w:b/>
          <w:sz w:val="32"/>
          <w:szCs w:val="32"/>
        </w:rPr>
      </w:pPr>
    </w:p>
    <w:p>
      <w:pPr>
        <w:spacing w:line="540" w:lineRule="exact"/>
        <w:rPr>
          <w:rFonts w:hint="eastAsia" w:ascii="仿宋_GB2312" w:hAnsi="楷体" w:eastAsia="仿宋_GB2312" w:cs="楷体"/>
          <w:b/>
          <w:sz w:val="32"/>
          <w:szCs w:val="32"/>
        </w:rPr>
      </w:pPr>
    </w:p>
    <w:p>
      <w:pPr>
        <w:spacing w:line="540" w:lineRule="exact"/>
        <w:rPr>
          <w:rFonts w:hint="eastAsia" w:ascii="仿宋_GB2312" w:hAnsi="楷体" w:eastAsia="仿宋_GB2312" w:cs="楷体"/>
          <w:b/>
          <w:sz w:val="32"/>
          <w:szCs w:val="32"/>
        </w:rPr>
      </w:pPr>
    </w:p>
    <w:p>
      <w:pPr>
        <w:spacing w:line="540" w:lineRule="exact"/>
        <w:rPr>
          <w:rFonts w:hint="eastAsia" w:ascii="仿宋_GB2312" w:hAnsi="楷体" w:eastAsia="仿宋_GB2312" w:cs="楷体"/>
          <w:b/>
          <w:sz w:val="32"/>
          <w:szCs w:val="32"/>
        </w:rPr>
      </w:pPr>
    </w:p>
    <w:p>
      <w:pPr>
        <w:spacing w:line="540" w:lineRule="exact"/>
        <w:rPr>
          <w:rFonts w:hint="eastAsia" w:ascii="仿宋_GB2312" w:hAnsi="楷体" w:eastAsia="仿宋_GB2312" w:cs="楷体"/>
          <w:b/>
          <w:sz w:val="32"/>
          <w:szCs w:val="32"/>
        </w:rPr>
      </w:pPr>
    </w:p>
    <w:p>
      <w:pPr>
        <w:spacing w:line="540" w:lineRule="exact"/>
        <w:rPr>
          <w:rFonts w:hint="eastAsia" w:ascii="仿宋_GB2312" w:hAnsi="楷体" w:eastAsia="仿宋_GB2312" w:cs="楷体"/>
          <w:b/>
          <w:sz w:val="32"/>
          <w:szCs w:val="32"/>
        </w:rPr>
      </w:pPr>
    </w:p>
    <w:p>
      <w:pPr>
        <w:spacing w:line="540" w:lineRule="exact"/>
        <w:rPr>
          <w:rFonts w:hint="eastAsia" w:ascii="仿宋_GB2312" w:hAnsi="楷体" w:eastAsia="仿宋_GB2312" w:cs="楷体"/>
          <w:b/>
          <w:sz w:val="32"/>
          <w:szCs w:val="32"/>
        </w:rPr>
      </w:pPr>
    </w:p>
    <w:p>
      <w:pPr>
        <w:pStyle w:val="2"/>
        <w:rPr>
          <w:rFonts w:hint="eastAsia" w:ascii="仿宋_GB2312" w:hAnsi="楷体" w:eastAsia="仿宋_GB2312" w:cs="楷体"/>
          <w:b/>
          <w:sz w:val="32"/>
          <w:szCs w:val="32"/>
        </w:rPr>
      </w:pPr>
    </w:p>
    <w:p>
      <w:pPr>
        <w:pStyle w:val="2"/>
        <w:rPr>
          <w:rFonts w:hint="eastAsia" w:ascii="仿宋_GB2312" w:hAnsi="楷体" w:eastAsia="仿宋_GB2312" w:cs="楷体"/>
          <w:b/>
          <w:sz w:val="32"/>
          <w:szCs w:val="32"/>
        </w:rPr>
      </w:pPr>
    </w:p>
    <w:p>
      <w:pPr>
        <w:pStyle w:val="2"/>
        <w:rPr>
          <w:rFonts w:hint="eastAsia" w:ascii="仿宋_GB2312" w:hAnsi="楷体" w:eastAsia="仿宋_GB2312" w:cs="楷体"/>
          <w:b/>
          <w:sz w:val="32"/>
          <w:szCs w:val="32"/>
        </w:rPr>
      </w:pPr>
    </w:p>
    <w:p>
      <w:pPr>
        <w:pStyle w:val="2"/>
        <w:rPr>
          <w:rFonts w:hint="eastAsia" w:ascii="仿宋_GB2312" w:hAnsi="楷体" w:eastAsia="仿宋_GB2312" w:cs="楷体"/>
          <w:b/>
          <w:sz w:val="32"/>
          <w:szCs w:val="32"/>
        </w:rPr>
      </w:pPr>
    </w:p>
    <w:p>
      <w:pPr>
        <w:pStyle w:val="2"/>
        <w:rPr>
          <w:rFonts w:hint="eastAsia" w:ascii="仿宋_GB2312" w:hAnsi="楷体" w:eastAsia="仿宋_GB2312" w:cs="楷体"/>
          <w:b/>
          <w:sz w:val="32"/>
          <w:szCs w:val="32"/>
        </w:rPr>
      </w:pPr>
    </w:p>
    <w:p>
      <w:pPr>
        <w:pStyle w:val="2"/>
        <w:rPr>
          <w:rFonts w:hint="eastAsia" w:ascii="仿宋_GB2312" w:hAnsi="楷体" w:eastAsia="仿宋_GB2312" w:cs="楷体"/>
          <w:b/>
          <w:sz w:val="32"/>
          <w:szCs w:val="32"/>
        </w:rPr>
      </w:pPr>
    </w:p>
    <w:p>
      <w:pPr>
        <w:spacing w:line="540" w:lineRule="exact"/>
        <w:rPr>
          <w:rFonts w:hint="eastAsia" w:ascii="黑体" w:hAnsi="黑体" w:eastAsia="黑体" w:cs="黑体"/>
          <w:b w:val="0"/>
          <w:bCs/>
          <w:sz w:val="32"/>
          <w:szCs w:val="32"/>
        </w:rPr>
      </w:pPr>
      <w:r>
        <w:rPr>
          <w:rFonts w:hint="eastAsia" w:ascii="黑体" w:hAnsi="黑体" w:eastAsia="黑体" w:cs="黑体"/>
          <w:b w:val="0"/>
          <w:bCs/>
          <w:sz w:val="32"/>
          <w:szCs w:val="32"/>
        </w:rPr>
        <w:t>附件</w:t>
      </w:r>
    </w:p>
    <w:p>
      <w:pPr>
        <w:pStyle w:val="2"/>
        <w:keepNext w:val="0"/>
        <w:keepLines w:val="0"/>
        <w:pageBreakBefore w:val="0"/>
        <w:widowControl w:val="0"/>
        <w:kinsoku/>
        <w:wordWrap/>
        <w:overflowPunct/>
        <w:topLinePunct w:val="0"/>
        <w:autoSpaceDE/>
        <w:autoSpaceDN/>
        <w:bidi w:val="0"/>
        <w:adjustRightInd/>
        <w:snapToGrid/>
        <w:spacing w:after="0" w:line="580" w:lineRule="exact"/>
        <w:ind w:left="0" w:leftChars="0" w:right="0" w:rightChars="0"/>
        <w:textAlignment w:val="auto"/>
        <w:rPr>
          <w:rFonts w:hint="eastAsia"/>
          <w:sz w:val="44"/>
          <w:szCs w:val="4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center"/>
        <w:textAlignment w:val="auto"/>
        <w:rPr>
          <w:rFonts w:hint="eastAsia" w:ascii="方正小标宋简体" w:hAnsi="宋体" w:eastAsia="方正小标宋简体"/>
          <w:sz w:val="44"/>
          <w:szCs w:val="44"/>
        </w:rPr>
      </w:pPr>
      <w:r>
        <w:rPr>
          <w:rFonts w:hint="eastAsia" w:ascii="方正小标宋简体" w:hAnsi="宋体" w:eastAsia="方正小标宋简体"/>
          <w:sz w:val="44"/>
          <w:szCs w:val="44"/>
        </w:rPr>
        <w:t>龙岩市渔业互助保险方案</w:t>
      </w:r>
    </w:p>
    <w:p>
      <w:pPr>
        <w:keepNext w:val="0"/>
        <w:keepLines w:val="0"/>
        <w:pageBreakBefore w:val="0"/>
        <w:widowControl w:val="0"/>
        <w:kinsoku/>
        <w:wordWrap/>
        <w:overflowPunct/>
        <w:topLinePunct w:val="0"/>
        <w:autoSpaceDE/>
        <w:autoSpaceDN/>
        <w:bidi w:val="0"/>
        <w:snapToGrid/>
        <w:spacing w:line="560" w:lineRule="exact"/>
        <w:ind w:firstLine="591" w:firstLineChars="196"/>
        <w:rPr>
          <w:rFonts w:hint="eastAsia" w:ascii="仿宋_GB2312" w:hAnsi="仿宋_GB2312" w:eastAsia="仿宋_GB2312" w:cs="仿宋_GB2312"/>
          <w:b w:val="0"/>
          <w:bCs w:val="0"/>
          <w:spacing w:val="-9"/>
          <w:sz w:val="32"/>
          <w:szCs w:val="20"/>
        </w:rPr>
      </w:pPr>
    </w:p>
    <w:p>
      <w:pPr>
        <w:keepNext w:val="0"/>
        <w:keepLines w:val="0"/>
        <w:pageBreakBefore w:val="0"/>
        <w:widowControl w:val="0"/>
        <w:tabs>
          <w:tab w:val="left" w:pos="5940"/>
        </w:tabs>
        <w:kinsoku/>
        <w:wordWrap/>
        <w:overflowPunct/>
        <w:topLinePunct w:val="0"/>
        <w:autoSpaceDE/>
        <w:autoSpaceDN/>
        <w:bidi w:val="0"/>
        <w:snapToGrid/>
        <w:spacing w:line="560" w:lineRule="exact"/>
        <w:ind w:firstLine="607" w:firstLineChars="200"/>
        <w:rPr>
          <w:rFonts w:hint="eastAsia" w:ascii="楷体_GB2312" w:hAnsi="楷体_GB2312" w:eastAsia="楷体_GB2312" w:cs="楷体_GB2312"/>
          <w:b/>
          <w:bCs/>
          <w:spacing w:val="-9"/>
          <w:sz w:val="32"/>
          <w:szCs w:val="32"/>
        </w:rPr>
      </w:pPr>
      <w:r>
        <w:rPr>
          <w:rFonts w:hint="eastAsia" w:ascii="楷体_GB2312" w:hAnsi="楷体_GB2312" w:eastAsia="楷体_GB2312" w:cs="楷体_GB2312"/>
          <w:b/>
          <w:bCs/>
          <w:spacing w:val="-9"/>
          <w:sz w:val="32"/>
          <w:szCs w:val="32"/>
        </w:rPr>
        <w:t>（一）渔民人身平安互助保险</w:t>
      </w:r>
    </w:p>
    <w:p>
      <w:pPr>
        <w:keepNext w:val="0"/>
        <w:keepLines w:val="0"/>
        <w:pageBreakBefore w:val="0"/>
        <w:widowControl w:val="0"/>
        <w:kinsoku/>
        <w:wordWrap/>
        <w:overflowPunct/>
        <w:topLinePunct w:val="0"/>
        <w:autoSpaceDE/>
        <w:autoSpaceDN/>
        <w:bidi w:val="0"/>
        <w:snapToGrid/>
        <w:spacing w:line="560" w:lineRule="exact"/>
        <w:ind w:firstLine="607" w:firstLineChars="200"/>
        <w:rPr>
          <w:rFonts w:hint="eastAsia" w:ascii="仿宋_GB2312" w:hAnsi="仿宋_GB2312" w:eastAsia="仿宋_GB2312" w:cs="仿宋_GB2312"/>
          <w:b/>
          <w:bCs/>
          <w:spacing w:val="-9"/>
          <w:sz w:val="32"/>
          <w:szCs w:val="32"/>
        </w:rPr>
      </w:pPr>
      <w:r>
        <w:rPr>
          <w:rFonts w:hint="eastAsia" w:ascii="仿宋_GB2312" w:hAnsi="仿宋_GB2312" w:eastAsia="仿宋_GB2312" w:cs="仿宋_GB2312"/>
          <w:b/>
          <w:bCs/>
          <w:spacing w:val="-9"/>
          <w:sz w:val="32"/>
          <w:szCs w:val="32"/>
        </w:rPr>
        <w:t>保险责任：</w:t>
      </w:r>
    </w:p>
    <w:p>
      <w:pPr>
        <w:keepNext w:val="0"/>
        <w:keepLines w:val="0"/>
        <w:pageBreakBefore w:val="0"/>
        <w:widowControl w:val="0"/>
        <w:kinsoku/>
        <w:wordWrap/>
        <w:overflowPunct/>
        <w:topLinePunct w:val="0"/>
        <w:autoSpaceDE/>
        <w:autoSpaceDN/>
        <w:bidi w:val="0"/>
        <w:snapToGrid/>
        <w:spacing w:line="560" w:lineRule="exact"/>
        <w:ind w:firstLine="604" w:firstLineChars="200"/>
        <w:rPr>
          <w:rFonts w:hint="eastAsia" w:ascii="仿宋_GB2312" w:hAnsi="仿宋_GB2312" w:eastAsia="仿宋_GB2312" w:cs="仿宋_GB2312"/>
          <w:b w:val="0"/>
          <w:bCs w:val="0"/>
          <w:spacing w:val="-9"/>
          <w:sz w:val="32"/>
          <w:szCs w:val="32"/>
        </w:rPr>
      </w:pPr>
      <w:r>
        <w:rPr>
          <w:rFonts w:hint="eastAsia" w:ascii="仿宋_GB2312" w:hAnsi="仿宋_GB2312" w:eastAsia="仿宋_GB2312" w:cs="仿宋_GB2312"/>
          <w:b w:val="0"/>
          <w:bCs w:val="0"/>
          <w:spacing w:val="-9"/>
          <w:sz w:val="32"/>
          <w:szCs w:val="32"/>
        </w:rPr>
        <w:t>（1）在保险期间内渔民</w:t>
      </w:r>
      <w:r>
        <w:rPr>
          <w:rFonts w:hint="eastAsia" w:ascii="仿宋_GB2312" w:hAnsi="仿宋_GB2312" w:eastAsia="仿宋_GB2312" w:cs="仿宋_GB2312"/>
          <w:b w:val="0"/>
          <w:bCs w:val="0"/>
          <w:spacing w:val="-9"/>
          <w:kern w:val="0"/>
          <w:sz w:val="32"/>
          <w:szCs w:val="32"/>
        </w:rPr>
        <w:t>遭受意外伤害导致死亡、伤残或医疗的</w:t>
      </w:r>
      <w:r>
        <w:rPr>
          <w:rFonts w:hint="eastAsia" w:ascii="仿宋_GB2312" w:hAnsi="仿宋_GB2312" w:eastAsia="仿宋_GB2312" w:cs="仿宋_GB2312"/>
          <w:b w:val="0"/>
          <w:bCs w:val="0"/>
          <w:spacing w:val="-9"/>
          <w:sz w:val="32"/>
          <w:szCs w:val="32"/>
        </w:rPr>
        <w:t>，承保机构按照有关保险条款和合同约定给付保险金。</w:t>
      </w:r>
    </w:p>
    <w:p>
      <w:pPr>
        <w:keepNext w:val="0"/>
        <w:keepLines w:val="0"/>
        <w:pageBreakBefore w:val="0"/>
        <w:widowControl w:val="0"/>
        <w:kinsoku/>
        <w:wordWrap/>
        <w:overflowPunct/>
        <w:topLinePunct w:val="0"/>
        <w:autoSpaceDE/>
        <w:autoSpaceDN/>
        <w:bidi w:val="0"/>
        <w:snapToGrid/>
        <w:spacing w:line="560" w:lineRule="exact"/>
        <w:ind w:firstLine="604" w:firstLineChars="200"/>
        <w:rPr>
          <w:rFonts w:hint="eastAsia" w:ascii="仿宋_GB2312" w:hAnsi="仿宋_GB2312" w:eastAsia="仿宋_GB2312" w:cs="仿宋_GB2312"/>
          <w:b w:val="0"/>
          <w:bCs w:val="0"/>
          <w:spacing w:val="-9"/>
          <w:sz w:val="32"/>
          <w:szCs w:val="32"/>
        </w:rPr>
      </w:pPr>
      <w:r>
        <w:rPr>
          <w:rFonts w:hint="eastAsia" w:ascii="仿宋_GB2312" w:hAnsi="仿宋_GB2312" w:eastAsia="仿宋_GB2312" w:cs="仿宋_GB2312"/>
          <w:b w:val="0"/>
          <w:bCs w:val="0"/>
          <w:spacing w:val="-9"/>
          <w:sz w:val="32"/>
          <w:szCs w:val="32"/>
        </w:rPr>
        <w:t>（2）在保险期间内渔民因遭受意外伤害导致的医疗费用，按照保险合同约定补偿意外伤害医疗费用。</w:t>
      </w:r>
    </w:p>
    <w:p>
      <w:pPr>
        <w:keepNext w:val="0"/>
        <w:keepLines w:val="0"/>
        <w:pageBreakBefore w:val="0"/>
        <w:widowControl w:val="0"/>
        <w:kinsoku/>
        <w:wordWrap/>
        <w:overflowPunct/>
        <w:topLinePunct w:val="0"/>
        <w:autoSpaceDE/>
        <w:autoSpaceDN/>
        <w:bidi w:val="0"/>
        <w:snapToGrid/>
        <w:spacing w:line="560" w:lineRule="exact"/>
        <w:ind w:firstLine="604" w:firstLineChars="200"/>
        <w:rPr>
          <w:rFonts w:hint="eastAsia" w:ascii="仿宋_GB2312" w:hAnsi="仿宋_GB2312" w:eastAsia="仿宋_GB2312" w:cs="仿宋_GB2312"/>
          <w:b w:val="0"/>
          <w:bCs w:val="0"/>
          <w:spacing w:val="-9"/>
          <w:sz w:val="32"/>
          <w:szCs w:val="32"/>
        </w:rPr>
      </w:pPr>
      <w:r>
        <w:rPr>
          <w:rFonts w:hint="eastAsia" w:ascii="仿宋_GB2312" w:hAnsi="仿宋_GB2312" w:eastAsia="仿宋_GB2312" w:cs="仿宋_GB2312"/>
          <w:b w:val="0"/>
          <w:bCs w:val="0"/>
          <w:spacing w:val="-9"/>
          <w:sz w:val="32"/>
          <w:szCs w:val="32"/>
        </w:rPr>
        <w:t>（3）保险金额：每份10万元，其中：意外伤害医疗费保险金额6000元。</w:t>
      </w:r>
    </w:p>
    <w:p>
      <w:pPr>
        <w:keepNext w:val="0"/>
        <w:keepLines w:val="0"/>
        <w:pageBreakBefore w:val="0"/>
        <w:widowControl w:val="0"/>
        <w:kinsoku/>
        <w:wordWrap/>
        <w:overflowPunct/>
        <w:topLinePunct w:val="0"/>
        <w:autoSpaceDE/>
        <w:autoSpaceDN/>
        <w:bidi w:val="0"/>
        <w:snapToGrid/>
        <w:spacing w:line="560" w:lineRule="exact"/>
        <w:ind w:firstLine="604" w:firstLineChars="200"/>
        <w:rPr>
          <w:rFonts w:hint="eastAsia" w:ascii="仿宋_GB2312" w:hAnsi="仿宋_GB2312" w:eastAsia="仿宋_GB2312" w:cs="仿宋_GB2312"/>
          <w:b w:val="0"/>
          <w:bCs w:val="0"/>
          <w:spacing w:val="-9"/>
          <w:sz w:val="32"/>
          <w:szCs w:val="32"/>
        </w:rPr>
      </w:pPr>
      <w:r>
        <w:rPr>
          <w:rFonts w:hint="eastAsia" w:ascii="仿宋_GB2312" w:hAnsi="仿宋_GB2312" w:eastAsia="仿宋_GB2312" w:cs="仿宋_GB2312"/>
          <w:b w:val="0"/>
          <w:bCs w:val="0"/>
          <w:spacing w:val="-9"/>
          <w:sz w:val="32"/>
          <w:szCs w:val="32"/>
        </w:rPr>
        <w:t>（4）保险费率：0.14%。</w:t>
      </w:r>
    </w:p>
    <w:p>
      <w:pPr>
        <w:keepNext w:val="0"/>
        <w:keepLines w:val="0"/>
        <w:pageBreakBefore w:val="0"/>
        <w:widowControl w:val="0"/>
        <w:kinsoku/>
        <w:wordWrap/>
        <w:overflowPunct/>
        <w:topLinePunct w:val="0"/>
        <w:autoSpaceDE/>
        <w:autoSpaceDN/>
        <w:bidi w:val="0"/>
        <w:snapToGrid/>
        <w:spacing w:line="560" w:lineRule="exact"/>
        <w:ind w:firstLine="604" w:firstLineChars="200"/>
        <w:rPr>
          <w:rFonts w:hint="eastAsia" w:ascii="仿宋_GB2312" w:hAnsi="仿宋_GB2312" w:eastAsia="仿宋_GB2312" w:cs="仿宋_GB2312"/>
          <w:b w:val="0"/>
          <w:bCs w:val="0"/>
          <w:spacing w:val="-9"/>
          <w:sz w:val="32"/>
          <w:szCs w:val="32"/>
        </w:rPr>
      </w:pPr>
      <w:r>
        <w:rPr>
          <w:rFonts w:hint="eastAsia" w:ascii="仿宋_GB2312" w:hAnsi="仿宋_GB2312" w:eastAsia="仿宋_GB2312" w:cs="仿宋_GB2312"/>
          <w:b w:val="0"/>
          <w:bCs w:val="0"/>
          <w:spacing w:val="-9"/>
          <w:sz w:val="32"/>
          <w:szCs w:val="32"/>
        </w:rPr>
        <w:t>（5）赔偿标准：</w:t>
      </w:r>
    </w:p>
    <w:p>
      <w:pPr>
        <w:keepNext w:val="0"/>
        <w:keepLines w:val="0"/>
        <w:pageBreakBefore w:val="0"/>
        <w:widowControl w:val="0"/>
        <w:kinsoku/>
        <w:wordWrap/>
        <w:overflowPunct/>
        <w:topLinePunct w:val="0"/>
        <w:autoSpaceDE/>
        <w:autoSpaceDN/>
        <w:bidi w:val="0"/>
        <w:snapToGrid/>
        <w:spacing w:line="560" w:lineRule="exact"/>
        <w:ind w:firstLine="640" w:firstLineChars="200"/>
        <w:rPr>
          <w:rFonts w:hint="eastAsia" w:ascii="仿宋_GB2312" w:hAnsi="仿宋_GB2312" w:eastAsia="仿宋_GB2312" w:cs="仿宋_GB2312"/>
          <w:b w:val="0"/>
          <w:bCs w:val="0"/>
          <w:spacing w:val="-9"/>
          <w:sz w:val="32"/>
          <w:szCs w:val="32"/>
        </w:rPr>
      </w:pPr>
      <w:r>
        <w:rPr>
          <w:rFonts w:hint="eastAsia" w:ascii="仿宋_GB2312" w:hAnsi="仿宋_GB2312" w:eastAsia="仿宋_GB2312" w:cs="仿宋_GB2312"/>
          <w:b w:val="0"/>
          <w:bCs w:val="0"/>
          <w:sz w:val="32"/>
          <w:szCs w:val="32"/>
        </w:rPr>
        <w:t>①</w:t>
      </w:r>
      <w:r>
        <w:rPr>
          <w:rFonts w:hint="eastAsia" w:ascii="仿宋_GB2312" w:hAnsi="仿宋_GB2312" w:eastAsia="仿宋_GB2312" w:cs="仿宋_GB2312"/>
          <w:b w:val="0"/>
          <w:bCs w:val="0"/>
          <w:spacing w:val="-9"/>
          <w:sz w:val="32"/>
          <w:szCs w:val="32"/>
        </w:rPr>
        <w:t>死亡的赔偿金额以保险金额为限，伤残的按《渔工伤残程度及赔偿比例表》标准赔偿。</w:t>
      </w:r>
    </w:p>
    <w:p>
      <w:pPr>
        <w:keepNext w:val="0"/>
        <w:keepLines w:val="0"/>
        <w:pageBreakBefore w:val="0"/>
        <w:widowControl w:val="0"/>
        <w:kinsoku/>
        <w:wordWrap/>
        <w:overflowPunct/>
        <w:topLinePunct w:val="0"/>
        <w:autoSpaceDE/>
        <w:autoSpaceDN/>
        <w:bidi w:val="0"/>
        <w:snapToGrid/>
        <w:spacing w:line="560" w:lineRule="exact"/>
        <w:ind w:firstLine="640" w:firstLineChars="200"/>
        <w:rPr>
          <w:rFonts w:hint="eastAsia" w:ascii="仿宋_GB2312" w:hAnsi="仿宋_GB2312" w:eastAsia="仿宋_GB2312" w:cs="仿宋_GB2312"/>
          <w:b w:val="0"/>
          <w:bCs w:val="0"/>
          <w:spacing w:val="-9"/>
          <w:sz w:val="32"/>
          <w:szCs w:val="32"/>
        </w:rPr>
      </w:pPr>
      <w:r>
        <w:rPr>
          <w:rFonts w:hint="eastAsia" w:ascii="仿宋_GB2312" w:hAnsi="仿宋_GB2312" w:eastAsia="仿宋_GB2312" w:cs="仿宋_GB2312"/>
          <w:b w:val="0"/>
          <w:bCs w:val="0"/>
          <w:sz w:val="32"/>
          <w:szCs w:val="32"/>
        </w:rPr>
        <w:t>②</w:t>
      </w:r>
      <w:r>
        <w:rPr>
          <w:rFonts w:hint="eastAsia" w:ascii="仿宋_GB2312" w:hAnsi="仿宋_GB2312" w:eastAsia="仿宋_GB2312" w:cs="仿宋_GB2312"/>
          <w:b w:val="0"/>
          <w:bCs w:val="0"/>
          <w:spacing w:val="-9"/>
          <w:sz w:val="32"/>
          <w:szCs w:val="32"/>
        </w:rPr>
        <w:t>渔民因遭受意外伤害事故且自该事故发生之日起下落不明，经人民法院宣告死亡注销户口的，承保机构按保险凭证所载该渔民意外伤害保险金额给付死亡保险金。若失踪者重新出现或者确知其并未死亡，渔民必须于30日内全额退还已赔付的保险赔偿金。</w:t>
      </w:r>
    </w:p>
    <w:p>
      <w:pPr>
        <w:keepNext w:val="0"/>
        <w:keepLines w:val="0"/>
        <w:pageBreakBefore w:val="0"/>
        <w:widowControl w:val="0"/>
        <w:kinsoku/>
        <w:wordWrap/>
        <w:overflowPunct/>
        <w:topLinePunct w:val="0"/>
        <w:autoSpaceDE/>
        <w:autoSpaceDN/>
        <w:bidi w:val="0"/>
        <w:snapToGrid/>
        <w:spacing w:line="560" w:lineRule="exact"/>
        <w:ind w:firstLine="640" w:firstLineChars="200"/>
        <w:rPr>
          <w:rFonts w:hint="eastAsia" w:ascii="仿宋_GB2312" w:hAnsi="仿宋_GB2312" w:eastAsia="仿宋_GB2312" w:cs="仿宋_GB2312"/>
          <w:b w:val="0"/>
          <w:bCs w:val="0"/>
          <w:spacing w:val="-9"/>
          <w:sz w:val="32"/>
          <w:szCs w:val="32"/>
        </w:rPr>
      </w:pPr>
      <w:r>
        <w:rPr>
          <w:rFonts w:hint="eastAsia" w:ascii="仿宋_GB2312" w:hAnsi="仿宋_GB2312" w:eastAsia="仿宋_GB2312" w:cs="仿宋_GB2312"/>
          <w:b w:val="0"/>
          <w:bCs w:val="0"/>
          <w:sz w:val="32"/>
          <w:szCs w:val="32"/>
        </w:rPr>
        <w:t>③</w:t>
      </w:r>
      <w:r>
        <w:rPr>
          <w:rFonts w:hint="eastAsia" w:ascii="仿宋_GB2312" w:hAnsi="仿宋_GB2312" w:eastAsia="仿宋_GB2312" w:cs="仿宋_GB2312"/>
          <w:b w:val="0"/>
          <w:bCs w:val="0"/>
          <w:spacing w:val="-9"/>
          <w:sz w:val="32"/>
          <w:szCs w:val="32"/>
        </w:rPr>
        <w:t>渔民遭受意外伤害，在中华人民共和国境内（不含港、澳、台地区）二级（含）以上或承保机构认可的医疗机构治疗而产生的，凡符合保险凭证签发地政府基本医疗保险管理规定的，直接用于自意外伤害发生之日起180日内治疗的医疗费用，承保机构按有关保险条款和合同约定赔偿；以保险凭证中约定的每人附加意外伤害医疗保险金额为限。</w:t>
      </w:r>
    </w:p>
    <w:p>
      <w:pPr>
        <w:keepNext w:val="0"/>
        <w:keepLines w:val="0"/>
        <w:pageBreakBefore w:val="0"/>
        <w:widowControl w:val="0"/>
        <w:kinsoku/>
        <w:wordWrap/>
        <w:overflowPunct/>
        <w:topLinePunct w:val="0"/>
        <w:autoSpaceDE/>
        <w:autoSpaceDN/>
        <w:bidi w:val="0"/>
        <w:snapToGrid/>
        <w:spacing w:line="560" w:lineRule="exact"/>
        <w:ind w:firstLine="640" w:firstLineChars="200"/>
        <w:rPr>
          <w:rFonts w:hint="eastAsia" w:ascii="仿宋_GB2312" w:hAnsi="仿宋_GB2312" w:eastAsia="仿宋_GB2312" w:cs="仿宋_GB2312"/>
          <w:b w:val="0"/>
          <w:bCs w:val="0"/>
          <w:spacing w:val="-9"/>
          <w:sz w:val="32"/>
          <w:szCs w:val="32"/>
        </w:rPr>
      </w:pPr>
      <w:r>
        <w:rPr>
          <w:rFonts w:hint="eastAsia" w:ascii="仿宋_GB2312" w:hAnsi="仿宋_GB2312" w:eastAsia="仿宋_GB2312" w:cs="仿宋_GB2312"/>
          <w:b w:val="0"/>
          <w:bCs w:val="0"/>
          <w:sz w:val="32"/>
          <w:szCs w:val="32"/>
        </w:rPr>
        <w:t>④</w:t>
      </w:r>
      <w:r>
        <w:rPr>
          <w:rFonts w:hint="eastAsia" w:ascii="仿宋_GB2312" w:hAnsi="仿宋_GB2312" w:eastAsia="仿宋_GB2312" w:cs="仿宋_GB2312"/>
          <w:b w:val="0"/>
          <w:bCs w:val="0"/>
          <w:spacing w:val="-9"/>
          <w:sz w:val="32"/>
          <w:szCs w:val="32"/>
        </w:rPr>
        <w:t>每一渔民一次或累计给付的保险金达到意外伤害保险金额时，承保机构对该渔民的保险责任终止。</w:t>
      </w:r>
    </w:p>
    <w:p>
      <w:pPr>
        <w:keepNext w:val="0"/>
        <w:keepLines w:val="0"/>
        <w:pageBreakBefore w:val="0"/>
        <w:widowControl w:val="0"/>
        <w:kinsoku/>
        <w:wordWrap/>
        <w:overflowPunct/>
        <w:topLinePunct w:val="0"/>
        <w:autoSpaceDE/>
        <w:autoSpaceDN/>
        <w:bidi w:val="0"/>
        <w:snapToGrid/>
        <w:spacing w:line="560" w:lineRule="exact"/>
        <w:ind w:firstLine="604" w:firstLineChars="200"/>
        <w:rPr>
          <w:rFonts w:hint="eastAsia" w:ascii="仿宋_GB2312" w:hAnsi="仿宋_GB2312" w:eastAsia="仿宋_GB2312" w:cs="仿宋_GB2312"/>
          <w:b w:val="0"/>
          <w:bCs w:val="0"/>
          <w:spacing w:val="-9"/>
          <w:sz w:val="32"/>
          <w:szCs w:val="32"/>
        </w:rPr>
      </w:pPr>
      <w:r>
        <w:rPr>
          <w:rFonts w:hint="eastAsia" w:ascii="仿宋_GB2312" w:hAnsi="仿宋_GB2312" w:eastAsia="仿宋_GB2312" w:cs="仿宋_GB2312"/>
          <w:b w:val="0"/>
          <w:bCs w:val="0"/>
          <w:spacing w:val="-9"/>
          <w:sz w:val="32"/>
          <w:szCs w:val="32"/>
        </w:rPr>
        <w:t>（6）参保方式：尊重渔民参保意愿，采取多种形式组织渔民参保。本保险必须实行实名制参保，若中途变更被保险人，应及时到当地协会办事处办理变更手续。</w:t>
      </w:r>
    </w:p>
    <w:p>
      <w:pPr>
        <w:keepNext w:val="0"/>
        <w:keepLines w:val="0"/>
        <w:pageBreakBefore w:val="0"/>
        <w:widowControl w:val="0"/>
        <w:kinsoku/>
        <w:wordWrap/>
        <w:overflowPunct/>
        <w:topLinePunct w:val="0"/>
        <w:autoSpaceDE/>
        <w:autoSpaceDN/>
        <w:bidi w:val="0"/>
        <w:snapToGrid/>
        <w:spacing w:line="560" w:lineRule="exact"/>
        <w:ind w:firstLine="604" w:firstLineChars="200"/>
        <w:rPr>
          <w:rFonts w:hint="eastAsia" w:ascii="仿宋_GB2312" w:hAnsi="仿宋_GB2312" w:eastAsia="仿宋_GB2312" w:cs="仿宋_GB2312"/>
          <w:b w:val="0"/>
          <w:bCs w:val="0"/>
          <w:spacing w:val="-9"/>
          <w:sz w:val="32"/>
          <w:szCs w:val="32"/>
        </w:rPr>
      </w:pPr>
      <w:r>
        <w:rPr>
          <w:rFonts w:hint="eastAsia" w:ascii="仿宋_GB2312" w:hAnsi="仿宋_GB2312" w:eastAsia="仿宋_GB2312" w:cs="仿宋_GB2312"/>
          <w:b w:val="0"/>
          <w:bCs w:val="0"/>
          <w:spacing w:val="-9"/>
          <w:sz w:val="32"/>
          <w:szCs w:val="32"/>
        </w:rPr>
        <w:t>（7）保费财政补贴：省级财政补贴30%；市级财政补贴5%。</w:t>
      </w:r>
    </w:p>
    <w:p>
      <w:pPr>
        <w:keepNext w:val="0"/>
        <w:keepLines w:val="0"/>
        <w:pageBreakBefore w:val="0"/>
        <w:widowControl w:val="0"/>
        <w:tabs>
          <w:tab w:val="left" w:pos="5940"/>
        </w:tabs>
        <w:kinsoku/>
        <w:wordWrap/>
        <w:overflowPunct/>
        <w:topLinePunct w:val="0"/>
        <w:autoSpaceDE/>
        <w:autoSpaceDN/>
        <w:bidi w:val="0"/>
        <w:snapToGrid/>
        <w:spacing w:line="560" w:lineRule="exact"/>
        <w:ind w:firstLine="607" w:firstLineChars="200"/>
        <w:rPr>
          <w:rFonts w:hint="eastAsia" w:ascii="楷体_GB2312" w:hAnsi="楷体_GB2312" w:eastAsia="楷体_GB2312" w:cs="楷体_GB2312"/>
          <w:b/>
          <w:bCs/>
          <w:spacing w:val="-9"/>
          <w:sz w:val="32"/>
          <w:szCs w:val="32"/>
        </w:rPr>
      </w:pPr>
      <w:r>
        <w:rPr>
          <w:rFonts w:hint="eastAsia" w:ascii="楷体_GB2312" w:hAnsi="楷体_GB2312" w:eastAsia="楷体_GB2312" w:cs="楷体_GB2312"/>
          <w:b/>
          <w:bCs/>
          <w:spacing w:val="-9"/>
          <w:sz w:val="32"/>
          <w:szCs w:val="32"/>
        </w:rPr>
        <w:t>（二）渔船互助保险</w:t>
      </w:r>
    </w:p>
    <w:p>
      <w:pPr>
        <w:keepNext w:val="0"/>
        <w:keepLines w:val="0"/>
        <w:pageBreakBefore w:val="0"/>
        <w:widowControl w:val="0"/>
        <w:kinsoku/>
        <w:wordWrap/>
        <w:overflowPunct/>
        <w:topLinePunct w:val="0"/>
        <w:autoSpaceDE/>
        <w:autoSpaceDN/>
        <w:bidi w:val="0"/>
        <w:snapToGrid/>
        <w:spacing w:line="560" w:lineRule="exact"/>
        <w:ind w:firstLine="604" w:firstLineChars="200"/>
        <w:rPr>
          <w:rFonts w:hint="eastAsia" w:ascii="仿宋_GB2312" w:hAnsi="仿宋_GB2312" w:eastAsia="仿宋_GB2312" w:cs="仿宋_GB2312"/>
          <w:b w:val="0"/>
          <w:bCs w:val="0"/>
          <w:spacing w:val="-9"/>
          <w:sz w:val="32"/>
          <w:szCs w:val="32"/>
        </w:rPr>
      </w:pPr>
      <w:r>
        <w:rPr>
          <w:rFonts w:hint="eastAsia" w:ascii="仿宋_GB2312" w:hAnsi="仿宋_GB2312" w:eastAsia="仿宋_GB2312" w:cs="仿宋_GB2312"/>
          <w:b w:val="0"/>
          <w:bCs w:val="0"/>
          <w:spacing w:val="-9"/>
          <w:sz w:val="32"/>
          <w:szCs w:val="32"/>
        </w:rPr>
        <w:t>1.保险标的：捕捞渔船。但渔船上的渔网、渔具、货物、燃料、用具、备用机件、冷藏设备、渔获物、给养品、渔需物资、船上人员的私人财物及其它附属设施等不在保险范围之内。</w:t>
      </w:r>
    </w:p>
    <w:p>
      <w:pPr>
        <w:keepNext w:val="0"/>
        <w:keepLines w:val="0"/>
        <w:pageBreakBefore w:val="0"/>
        <w:widowControl w:val="0"/>
        <w:kinsoku/>
        <w:wordWrap/>
        <w:overflowPunct/>
        <w:topLinePunct w:val="0"/>
        <w:autoSpaceDE/>
        <w:autoSpaceDN/>
        <w:bidi w:val="0"/>
        <w:adjustRightInd w:val="0"/>
        <w:snapToGrid/>
        <w:spacing w:line="560" w:lineRule="exact"/>
        <w:ind w:firstLine="604" w:firstLineChars="200"/>
        <w:rPr>
          <w:rFonts w:hint="eastAsia" w:ascii="仿宋_GB2312" w:hAnsi="仿宋_GB2312" w:eastAsia="仿宋_GB2312" w:cs="仿宋_GB2312"/>
          <w:b w:val="0"/>
          <w:bCs w:val="0"/>
          <w:spacing w:val="-9"/>
          <w:sz w:val="32"/>
          <w:szCs w:val="32"/>
        </w:rPr>
      </w:pPr>
      <w:r>
        <w:rPr>
          <w:rFonts w:hint="eastAsia" w:ascii="仿宋_GB2312" w:hAnsi="仿宋_GB2312" w:eastAsia="仿宋_GB2312" w:cs="仿宋_GB2312"/>
          <w:b w:val="0"/>
          <w:bCs w:val="0"/>
          <w:spacing w:val="-9"/>
          <w:sz w:val="32"/>
          <w:szCs w:val="32"/>
        </w:rPr>
        <w:t>2.保险责任：本保险为全损险责任，保险渔船在保险期间内由于下列原因直接造成保险渔船的全损，承保机构按有关保险条款和合同约定负责赔偿，按照全损理赔后，不论赔偿金额是否达到保险金额，保险责任终止：</w:t>
      </w:r>
    </w:p>
    <w:p>
      <w:pPr>
        <w:keepNext w:val="0"/>
        <w:keepLines w:val="0"/>
        <w:pageBreakBefore w:val="0"/>
        <w:widowControl w:val="0"/>
        <w:kinsoku/>
        <w:wordWrap/>
        <w:overflowPunct/>
        <w:topLinePunct w:val="0"/>
        <w:autoSpaceDE/>
        <w:autoSpaceDN/>
        <w:bidi w:val="0"/>
        <w:adjustRightInd w:val="0"/>
        <w:snapToGrid/>
        <w:spacing w:line="560" w:lineRule="exact"/>
        <w:ind w:firstLine="604" w:firstLineChars="200"/>
        <w:rPr>
          <w:rFonts w:hint="eastAsia" w:ascii="仿宋_GB2312" w:hAnsi="仿宋_GB2312" w:eastAsia="仿宋_GB2312" w:cs="仿宋_GB2312"/>
          <w:b w:val="0"/>
          <w:bCs w:val="0"/>
          <w:spacing w:val="-9"/>
          <w:sz w:val="32"/>
          <w:szCs w:val="32"/>
        </w:rPr>
      </w:pPr>
      <w:r>
        <w:rPr>
          <w:rFonts w:hint="eastAsia" w:ascii="仿宋_GB2312" w:hAnsi="仿宋_GB2312" w:eastAsia="仿宋_GB2312" w:cs="仿宋_GB2312"/>
          <w:b w:val="0"/>
          <w:bCs w:val="0"/>
          <w:spacing w:val="-9"/>
          <w:sz w:val="32"/>
          <w:szCs w:val="32"/>
        </w:rPr>
        <w:t>（1）八级以上（含八级）风灾、洪水、海啸、雷击、崖崩、滑坡、泥石流、冰凌；</w:t>
      </w:r>
    </w:p>
    <w:p>
      <w:pPr>
        <w:keepNext w:val="0"/>
        <w:keepLines w:val="0"/>
        <w:pageBreakBefore w:val="0"/>
        <w:widowControl w:val="0"/>
        <w:kinsoku/>
        <w:wordWrap/>
        <w:overflowPunct/>
        <w:topLinePunct w:val="0"/>
        <w:autoSpaceDE/>
        <w:autoSpaceDN/>
        <w:bidi w:val="0"/>
        <w:adjustRightInd w:val="0"/>
        <w:snapToGrid/>
        <w:spacing w:line="560" w:lineRule="exact"/>
        <w:ind w:firstLine="604" w:firstLineChars="200"/>
        <w:rPr>
          <w:rFonts w:hint="eastAsia" w:ascii="仿宋_GB2312" w:hAnsi="仿宋_GB2312" w:eastAsia="仿宋_GB2312" w:cs="仿宋_GB2312"/>
          <w:b w:val="0"/>
          <w:bCs w:val="0"/>
          <w:spacing w:val="-9"/>
          <w:sz w:val="32"/>
          <w:szCs w:val="32"/>
        </w:rPr>
      </w:pPr>
      <w:r>
        <w:rPr>
          <w:rFonts w:hint="eastAsia" w:ascii="仿宋_GB2312" w:hAnsi="仿宋_GB2312" w:eastAsia="仿宋_GB2312" w:cs="仿宋_GB2312"/>
          <w:b w:val="0"/>
          <w:bCs w:val="0"/>
          <w:spacing w:val="-9"/>
          <w:sz w:val="32"/>
          <w:szCs w:val="32"/>
        </w:rPr>
        <w:t>（2）火灾、爆炸；</w:t>
      </w:r>
    </w:p>
    <w:p>
      <w:pPr>
        <w:keepNext w:val="0"/>
        <w:keepLines w:val="0"/>
        <w:pageBreakBefore w:val="0"/>
        <w:widowControl w:val="0"/>
        <w:kinsoku/>
        <w:wordWrap/>
        <w:overflowPunct/>
        <w:topLinePunct w:val="0"/>
        <w:autoSpaceDE/>
        <w:autoSpaceDN/>
        <w:bidi w:val="0"/>
        <w:adjustRightInd w:val="0"/>
        <w:snapToGrid/>
        <w:spacing w:line="560" w:lineRule="exact"/>
        <w:ind w:firstLine="604" w:firstLineChars="200"/>
        <w:rPr>
          <w:rFonts w:hint="eastAsia" w:ascii="仿宋_GB2312" w:hAnsi="仿宋_GB2312" w:eastAsia="仿宋_GB2312" w:cs="仿宋_GB2312"/>
          <w:b w:val="0"/>
          <w:bCs w:val="0"/>
          <w:spacing w:val="-9"/>
          <w:sz w:val="32"/>
          <w:szCs w:val="32"/>
        </w:rPr>
      </w:pPr>
      <w:r>
        <w:rPr>
          <w:rFonts w:hint="eastAsia" w:ascii="仿宋_GB2312" w:hAnsi="仿宋_GB2312" w:eastAsia="仿宋_GB2312" w:cs="仿宋_GB2312"/>
          <w:b w:val="0"/>
          <w:bCs w:val="0"/>
          <w:spacing w:val="-9"/>
          <w:sz w:val="32"/>
          <w:szCs w:val="32"/>
        </w:rPr>
        <w:t>（3）碰撞、触碰；</w:t>
      </w:r>
    </w:p>
    <w:p>
      <w:pPr>
        <w:keepNext w:val="0"/>
        <w:keepLines w:val="0"/>
        <w:pageBreakBefore w:val="0"/>
        <w:widowControl w:val="0"/>
        <w:kinsoku/>
        <w:wordWrap/>
        <w:overflowPunct/>
        <w:topLinePunct w:val="0"/>
        <w:autoSpaceDE/>
        <w:autoSpaceDN/>
        <w:bidi w:val="0"/>
        <w:adjustRightInd w:val="0"/>
        <w:snapToGrid/>
        <w:spacing w:line="560" w:lineRule="exact"/>
        <w:ind w:firstLine="604" w:firstLineChars="200"/>
        <w:rPr>
          <w:rFonts w:hint="eastAsia" w:ascii="仿宋_GB2312" w:hAnsi="仿宋_GB2312" w:eastAsia="仿宋_GB2312" w:cs="仿宋_GB2312"/>
          <w:b w:val="0"/>
          <w:bCs w:val="0"/>
          <w:spacing w:val="-9"/>
          <w:sz w:val="32"/>
          <w:szCs w:val="32"/>
        </w:rPr>
      </w:pPr>
      <w:r>
        <w:rPr>
          <w:rFonts w:hint="eastAsia" w:ascii="仿宋_GB2312" w:hAnsi="仿宋_GB2312" w:eastAsia="仿宋_GB2312" w:cs="仿宋_GB2312"/>
          <w:b w:val="0"/>
          <w:bCs w:val="0"/>
          <w:spacing w:val="-9"/>
          <w:sz w:val="32"/>
          <w:szCs w:val="32"/>
        </w:rPr>
        <w:t>（4）搁浅、触礁；</w:t>
      </w:r>
    </w:p>
    <w:p>
      <w:pPr>
        <w:keepNext w:val="0"/>
        <w:keepLines w:val="0"/>
        <w:pageBreakBefore w:val="0"/>
        <w:widowControl w:val="0"/>
        <w:kinsoku/>
        <w:wordWrap/>
        <w:overflowPunct/>
        <w:topLinePunct w:val="0"/>
        <w:autoSpaceDE/>
        <w:autoSpaceDN/>
        <w:bidi w:val="0"/>
        <w:adjustRightInd w:val="0"/>
        <w:snapToGrid/>
        <w:spacing w:line="560" w:lineRule="exact"/>
        <w:ind w:firstLine="604" w:firstLineChars="200"/>
        <w:rPr>
          <w:rFonts w:hint="eastAsia" w:ascii="仿宋_GB2312" w:hAnsi="仿宋_GB2312" w:eastAsia="仿宋_GB2312" w:cs="仿宋_GB2312"/>
          <w:b w:val="0"/>
          <w:bCs w:val="0"/>
          <w:spacing w:val="-9"/>
          <w:sz w:val="32"/>
          <w:szCs w:val="32"/>
        </w:rPr>
      </w:pPr>
      <w:r>
        <w:rPr>
          <w:rFonts w:hint="eastAsia" w:ascii="仿宋_GB2312" w:hAnsi="仿宋_GB2312" w:eastAsia="仿宋_GB2312" w:cs="仿宋_GB2312"/>
          <w:b w:val="0"/>
          <w:bCs w:val="0"/>
          <w:spacing w:val="-9"/>
          <w:sz w:val="32"/>
          <w:szCs w:val="32"/>
        </w:rPr>
        <w:t>（5）自沉（仅指渔业船舶在适航期内，因船体漏水或不明原因导致造成渔业船舶沉没）；</w:t>
      </w:r>
    </w:p>
    <w:p>
      <w:pPr>
        <w:keepNext w:val="0"/>
        <w:keepLines w:val="0"/>
        <w:pageBreakBefore w:val="0"/>
        <w:widowControl w:val="0"/>
        <w:kinsoku/>
        <w:wordWrap/>
        <w:overflowPunct/>
        <w:topLinePunct w:val="0"/>
        <w:autoSpaceDE/>
        <w:autoSpaceDN/>
        <w:bidi w:val="0"/>
        <w:adjustRightInd w:val="0"/>
        <w:snapToGrid/>
        <w:spacing w:line="560" w:lineRule="exact"/>
        <w:ind w:firstLine="604" w:firstLineChars="200"/>
        <w:rPr>
          <w:rFonts w:hint="eastAsia" w:ascii="仿宋_GB2312" w:hAnsi="仿宋_GB2312" w:eastAsia="仿宋_GB2312" w:cs="仿宋_GB2312"/>
          <w:b w:val="0"/>
          <w:bCs w:val="0"/>
          <w:spacing w:val="-9"/>
          <w:sz w:val="32"/>
          <w:szCs w:val="32"/>
        </w:rPr>
      </w:pPr>
      <w:r>
        <w:rPr>
          <w:rFonts w:hint="eastAsia" w:ascii="仿宋_GB2312" w:hAnsi="仿宋_GB2312" w:eastAsia="仿宋_GB2312" w:cs="仿宋_GB2312"/>
          <w:b w:val="0"/>
          <w:bCs w:val="0"/>
          <w:spacing w:val="-9"/>
          <w:sz w:val="32"/>
          <w:szCs w:val="32"/>
        </w:rPr>
        <w:t>（6）由于上述一至五款灾害或事故导致的倾覆、沉没；</w:t>
      </w:r>
    </w:p>
    <w:p>
      <w:pPr>
        <w:keepNext w:val="0"/>
        <w:keepLines w:val="0"/>
        <w:pageBreakBefore w:val="0"/>
        <w:widowControl w:val="0"/>
        <w:kinsoku/>
        <w:wordWrap/>
        <w:overflowPunct/>
        <w:topLinePunct w:val="0"/>
        <w:autoSpaceDE/>
        <w:autoSpaceDN/>
        <w:bidi w:val="0"/>
        <w:adjustRightInd w:val="0"/>
        <w:snapToGrid/>
        <w:spacing w:line="560" w:lineRule="exact"/>
        <w:ind w:firstLine="604" w:firstLineChars="200"/>
        <w:rPr>
          <w:rFonts w:hint="eastAsia" w:ascii="仿宋_GB2312" w:hAnsi="仿宋_GB2312" w:eastAsia="仿宋_GB2312" w:cs="仿宋_GB2312"/>
          <w:b w:val="0"/>
          <w:bCs w:val="0"/>
          <w:spacing w:val="-9"/>
          <w:sz w:val="32"/>
          <w:szCs w:val="32"/>
        </w:rPr>
      </w:pPr>
      <w:r>
        <w:rPr>
          <w:rFonts w:hint="eastAsia" w:ascii="仿宋_GB2312" w:hAnsi="仿宋_GB2312" w:eastAsia="仿宋_GB2312" w:cs="仿宋_GB2312"/>
          <w:b w:val="0"/>
          <w:bCs w:val="0"/>
          <w:spacing w:val="-9"/>
          <w:sz w:val="32"/>
          <w:szCs w:val="32"/>
        </w:rPr>
        <w:t>（7）渔船在航行、作业中失踪六个月以上。</w:t>
      </w:r>
    </w:p>
    <w:p>
      <w:pPr>
        <w:keepNext w:val="0"/>
        <w:keepLines w:val="0"/>
        <w:pageBreakBefore w:val="0"/>
        <w:widowControl w:val="0"/>
        <w:kinsoku/>
        <w:wordWrap/>
        <w:overflowPunct/>
        <w:topLinePunct w:val="0"/>
        <w:autoSpaceDE/>
        <w:autoSpaceDN/>
        <w:bidi w:val="0"/>
        <w:adjustRightInd w:val="0"/>
        <w:snapToGrid/>
        <w:spacing w:line="560" w:lineRule="exact"/>
        <w:ind w:firstLine="604" w:firstLineChars="200"/>
        <w:rPr>
          <w:rFonts w:hint="eastAsia" w:ascii="仿宋_GB2312" w:hAnsi="仿宋_GB2312" w:eastAsia="仿宋_GB2312" w:cs="仿宋_GB2312"/>
          <w:b w:val="0"/>
          <w:bCs w:val="0"/>
          <w:spacing w:val="-9"/>
          <w:sz w:val="32"/>
          <w:szCs w:val="32"/>
        </w:rPr>
      </w:pPr>
      <w:r>
        <w:rPr>
          <w:rFonts w:hint="eastAsia" w:ascii="仿宋_GB2312" w:hAnsi="仿宋_GB2312" w:eastAsia="仿宋_GB2312" w:cs="仿宋_GB2312"/>
          <w:b w:val="0"/>
          <w:bCs w:val="0"/>
          <w:spacing w:val="-9"/>
          <w:sz w:val="32"/>
          <w:szCs w:val="32"/>
        </w:rPr>
        <w:t>3.保险金额：保险金额是指保险期间承保机构承担的保险责任赔偿限额。保险金额可按保险价值足额计算，也可由承保机构与被保险人按保险价值的比例约定。保险金额不得超过实际价值。超过实际价值的，超过部分无效，承保机构应当退还相应的保险费。</w:t>
      </w:r>
    </w:p>
    <w:p>
      <w:pPr>
        <w:keepNext w:val="0"/>
        <w:keepLines w:val="0"/>
        <w:pageBreakBefore w:val="0"/>
        <w:widowControl w:val="0"/>
        <w:kinsoku/>
        <w:wordWrap/>
        <w:overflowPunct/>
        <w:topLinePunct w:val="0"/>
        <w:autoSpaceDE/>
        <w:autoSpaceDN/>
        <w:bidi w:val="0"/>
        <w:adjustRightInd w:val="0"/>
        <w:snapToGrid/>
        <w:spacing w:line="560" w:lineRule="exact"/>
        <w:ind w:firstLine="604" w:firstLineChars="200"/>
        <w:rPr>
          <w:rFonts w:hint="eastAsia" w:ascii="仿宋_GB2312" w:hAnsi="仿宋_GB2312" w:eastAsia="仿宋_GB2312" w:cs="仿宋_GB2312"/>
          <w:b w:val="0"/>
          <w:bCs w:val="0"/>
          <w:spacing w:val="-9"/>
          <w:sz w:val="32"/>
          <w:szCs w:val="32"/>
        </w:rPr>
      </w:pPr>
      <w:r>
        <w:rPr>
          <w:rFonts w:hint="eastAsia" w:ascii="仿宋_GB2312" w:hAnsi="仿宋_GB2312" w:eastAsia="仿宋_GB2312" w:cs="仿宋_GB2312"/>
          <w:b w:val="0"/>
          <w:bCs w:val="0"/>
          <w:spacing w:val="-9"/>
          <w:sz w:val="32"/>
          <w:szCs w:val="32"/>
        </w:rPr>
        <w:t>4.保险费率：钢质渔船，船龄5年以下0.7%，5-10年0.88%，10年以上1.05%；木质渔船，船龄5年以下1.05%，5-10年1.17%，10年以上1.29%。</w:t>
      </w:r>
    </w:p>
    <w:p>
      <w:pPr>
        <w:keepNext w:val="0"/>
        <w:keepLines w:val="0"/>
        <w:pageBreakBefore w:val="0"/>
        <w:widowControl w:val="0"/>
        <w:kinsoku/>
        <w:wordWrap/>
        <w:overflowPunct/>
        <w:topLinePunct w:val="0"/>
        <w:autoSpaceDE/>
        <w:autoSpaceDN/>
        <w:bidi w:val="0"/>
        <w:adjustRightInd w:val="0"/>
        <w:snapToGrid/>
        <w:spacing w:line="560" w:lineRule="exact"/>
        <w:ind w:firstLine="604" w:firstLineChars="200"/>
        <w:rPr>
          <w:rFonts w:hint="eastAsia" w:ascii="仿宋_GB2312" w:hAnsi="仿宋_GB2312" w:eastAsia="仿宋_GB2312" w:cs="仿宋_GB2312"/>
          <w:b w:val="0"/>
          <w:bCs w:val="0"/>
          <w:spacing w:val="-9"/>
          <w:sz w:val="32"/>
          <w:szCs w:val="32"/>
        </w:rPr>
      </w:pPr>
      <w:r>
        <w:rPr>
          <w:rFonts w:hint="eastAsia" w:ascii="仿宋_GB2312" w:hAnsi="仿宋_GB2312" w:eastAsia="仿宋_GB2312" w:cs="仿宋_GB2312"/>
          <w:b w:val="0"/>
          <w:bCs w:val="0"/>
          <w:spacing w:val="-9"/>
          <w:sz w:val="32"/>
          <w:szCs w:val="32"/>
        </w:rPr>
        <w:t>5.赔偿标准：</w:t>
      </w:r>
    </w:p>
    <w:p>
      <w:pPr>
        <w:keepNext w:val="0"/>
        <w:keepLines w:val="0"/>
        <w:pageBreakBefore w:val="0"/>
        <w:widowControl w:val="0"/>
        <w:kinsoku/>
        <w:wordWrap/>
        <w:overflowPunct/>
        <w:topLinePunct w:val="0"/>
        <w:autoSpaceDE/>
        <w:autoSpaceDN/>
        <w:bidi w:val="0"/>
        <w:adjustRightInd w:val="0"/>
        <w:snapToGrid/>
        <w:spacing w:line="560" w:lineRule="exact"/>
        <w:ind w:firstLine="604" w:firstLineChars="200"/>
        <w:rPr>
          <w:rFonts w:hint="eastAsia" w:ascii="仿宋_GB2312" w:hAnsi="仿宋_GB2312" w:eastAsia="仿宋_GB2312" w:cs="仿宋_GB2312"/>
          <w:b w:val="0"/>
          <w:bCs w:val="0"/>
          <w:spacing w:val="-9"/>
          <w:sz w:val="32"/>
          <w:szCs w:val="32"/>
        </w:rPr>
      </w:pPr>
      <w:r>
        <w:rPr>
          <w:rFonts w:hint="eastAsia" w:ascii="仿宋_GB2312" w:hAnsi="仿宋_GB2312" w:eastAsia="仿宋_GB2312" w:cs="仿宋_GB2312"/>
          <w:b w:val="0"/>
          <w:bCs w:val="0"/>
          <w:spacing w:val="-9"/>
          <w:sz w:val="32"/>
          <w:szCs w:val="32"/>
        </w:rPr>
        <w:t>保险渔船发生全损按照保险金额及合同约定计算赔偿。但保险金额高于渔船实际价值时，以不超过出险当时的渔船实际价值计算赔偿。</w:t>
      </w:r>
      <w:r>
        <w:rPr>
          <w:rFonts w:hint="eastAsia" w:ascii="仿宋_GB2312" w:hAnsi="仿宋_GB2312" w:eastAsia="仿宋_GB2312" w:cs="仿宋_GB2312"/>
          <w:b w:val="0"/>
          <w:bCs w:val="0"/>
          <w:sz w:val="32"/>
          <w:szCs w:val="32"/>
        </w:rPr>
        <w:t>赔款累计达到保险金额时，保险责任即行终止。</w:t>
      </w:r>
    </w:p>
    <w:p>
      <w:pPr>
        <w:keepNext w:val="0"/>
        <w:keepLines w:val="0"/>
        <w:pageBreakBefore w:val="0"/>
        <w:widowControl w:val="0"/>
        <w:kinsoku/>
        <w:wordWrap/>
        <w:overflowPunct/>
        <w:topLinePunct w:val="0"/>
        <w:autoSpaceDE/>
        <w:autoSpaceDN/>
        <w:bidi w:val="0"/>
        <w:adjustRightInd w:val="0"/>
        <w:snapToGrid/>
        <w:spacing w:line="560" w:lineRule="exact"/>
        <w:ind w:firstLine="604" w:firstLineChars="200"/>
        <w:rPr>
          <w:rFonts w:hint="eastAsia" w:ascii="仿宋_GB2312" w:hAnsi="仿宋_GB2312" w:eastAsia="仿宋_GB2312" w:cs="仿宋_GB2312"/>
          <w:b w:val="0"/>
          <w:bCs w:val="0"/>
          <w:spacing w:val="-9"/>
          <w:sz w:val="32"/>
          <w:szCs w:val="32"/>
        </w:rPr>
      </w:pPr>
      <w:r>
        <w:rPr>
          <w:rFonts w:hint="eastAsia" w:ascii="仿宋_GB2312" w:hAnsi="仿宋_GB2312" w:eastAsia="仿宋_GB2312" w:cs="仿宋_GB2312"/>
          <w:b w:val="0"/>
          <w:bCs w:val="0"/>
          <w:spacing w:val="-9"/>
          <w:sz w:val="32"/>
          <w:szCs w:val="32"/>
        </w:rPr>
        <w:t>6.参保方式：采取多种形式组织渔民参保。</w:t>
      </w:r>
    </w:p>
    <w:p>
      <w:pPr>
        <w:keepNext w:val="0"/>
        <w:keepLines w:val="0"/>
        <w:pageBreakBefore w:val="0"/>
        <w:widowControl w:val="0"/>
        <w:kinsoku/>
        <w:wordWrap/>
        <w:overflowPunct/>
        <w:topLinePunct w:val="0"/>
        <w:autoSpaceDE/>
        <w:autoSpaceDN/>
        <w:bidi w:val="0"/>
        <w:adjustRightInd w:val="0"/>
        <w:snapToGrid/>
        <w:spacing w:line="560" w:lineRule="exact"/>
        <w:ind w:firstLine="604" w:firstLineChars="200"/>
        <w:rPr>
          <w:rFonts w:hint="eastAsia" w:ascii="仿宋_GB2312" w:hAnsi="仿宋_GB2312" w:eastAsia="仿宋_GB2312" w:cs="仿宋_GB2312"/>
          <w:b w:val="0"/>
          <w:bCs w:val="0"/>
          <w:spacing w:val="-9"/>
          <w:sz w:val="32"/>
          <w:szCs w:val="32"/>
        </w:rPr>
      </w:pPr>
      <w:r>
        <w:rPr>
          <w:rFonts w:hint="eastAsia" w:ascii="仿宋_GB2312" w:hAnsi="仿宋_GB2312" w:eastAsia="仿宋_GB2312" w:cs="仿宋_GB2312"/>
          <w:b w:val="0"/>
          <w:bCs w:val="0"/>
          <w:spacing w:val="-9"/>
          <w:sz w:val="32"/>
          <w:szCs w:val="32"/>
        </w:rPr>
        <w:t>7.政府扶持政策：财政保费补贴根据扣除10%的参保优惠后的保费计算，省级财政补贴30%；市级财政补贴5%。</w:t>
      </w:r>
    </w:p>
    <w:p>
      <w:pPr>
        <w:keepNext w:val="0"/>
        <w:keepLines w:val="0"/>
        <w:pageBreakBefore w:val="0"/>
        <w:widowControl w:val="0"/>
        <w:tabs>
          <w:tab w:val="left" w:pos="5940"/>
        </w:tabs>
        <w:kinsoku/>
        <w:wordWrap/>
        <w:overflowPunct/>
        <w:topLinePunct w:val="0"/>
        <w:autoSpaceDE/>
        <w:autoSpaceDN/>
        <w:bidi w:val="0"/>
        <w:snapToGrid/>
        <w:spacing w:line="560" w:lineRule="exact"/>
        <w:ind w:firstLine="607" w:firstLineChars="200"/>
        <w:rPr>
          <w:rFonts w:hint="eastAsia" w:ascii="楷体_GB2312" w:hAnsi="楷体_GB2312" w:eastAsia="楷体_GB2312" w:cs="楷体_GB2312"/>
          <w:b/>
          <w:bCs/>
          <w:spacing w:val="-9"/>
          <w:sz w:val="32"/>
          <w:szCs w:val="32"/>
        </w:rPr>
      </w:pPr>
      <w:r>
        <w:rPr>
          <w:rFonts w:hint="eastAsia" w:ascii="楷体_GB2312" w:hAnsi="楷体_GB2312" w:eastAsia="楷体_GB2312" w:cs="楷体_GB2312"/>
          <w:b/>
          <w:bCs/>
          <w:spacing w:val="-9"/>
          <w:sz w:val="32"/>
          <w:szCs w:val="32"/>
        </w:rPr>
        <w:t>（三）水产养殖生物保险</w:t>
      </w:r>
    </w:p>
    <w:p>
      <w:pPr>
        <w:keepNext w:val="0"/>
        <w:keepLines w:val="0"/>
        <w:pageBreakBefore w:val="0"/>
        <w:widowControl w:val="0"/>
        <w:kinsoku/>
        <w:wordWrap/>
        <w:overflowPunct/>
        <w:topLinePunct w:val="0"/>
        <w:autoSpaceDE/>
        <w:autoSpaceDN/>
        <w:bidi w:val="0"/>
        <w:snapToGrid/>
        <w:spacing w:line="560" w:lineRule="exact"/>
        <w:ind w:firstLine="604" w:firstLineChars="200"/>
        <w:rPr>
          <w:rFonts w:hint="eastAsia" w:ascii="仿宋_GB2312" w:hAnsi="仿宋_GB2312" w:eastAsia="仿宋_GB2312" w:cs="仿宋_GB2312"/>
          <w:b w:val="0"/>
          <w:bCs w:val="0"/>
          <w:spacing w:val="-9"/>
          <w:sz w:val="32"/>
          <w:szCs w:val="32"/>
        </w:rPr>
      </w:pPr>
      <w:r>
        <w:rPr>
          <w:rFonts w:hint="eastAsia" w:ascii="仿宋_GB2312" w:hAnsi="仿宋_GB2312" w:eastAsia="仿宋_GB2312" w:cs="仿宋_GB2312"/>
          <w:b w:val="0"/>
          <w:bCs w:val="0"/>
          <w:spacing w:val="-9"/>
          <w:sz w:val="32"/>
          <w:szCs w:val="32"/>
        </w:rPr>
        <w:t>1.保险标的：福建省境内的养殖水产。</w:t>
      </w:r>
    </w:p>
    <w:p>
      <w:pPr>
        <w:keepNext w:val="0"/>
        <w:keepLines w:val="0"/>
        <w:pageBreakBefore w:val="0"/>
        <w:widowControl w:val="0"/>
        <w:kinsoku/>
        <w:wordWrap/>
        <w:overflowPunct/>
        <w:topLinePunct w:val="0"/>
        <w:autoSpaceDE/>
        <w:autoSpaceDN/>
        <w:bidi w:val="0"/>
        <w:snapToGrid/>
        <w:spacing w:line="560" w:lineRule="exact"/>
        <w:ind w:firstLine="604" w:firstLineChars="200"/>
        <w:rPr>
          <w:rFonts w:hint="eastAsia" w:ascii="仿宋_GB2312" w:hAnsi="仿宋_GB2312" w:eastAsia="仿宋_GB2312" w:cs="仿宋_GB2312"/>
          <w:b w:val="0"/>
          <w:bCs w:val="0"/>
          <w:spacing w:val="-9"/>
          <w:sz w:val="32"/>
          <w:szCs w:val="32"/>
        </w:rPr>
      </w:pPr>
      <w:r>
        <w:rPr>
          <w:rFonts w:hint="eastAsia" w:ascii="仿宋_GB2312" w:hAnsi="仿宋_GB2312" w:eastAsia="仿宋_GB2312" w:cs="仿宋_GB2312"/>
          <w:b w:val="0"/>
          <w:bCs w:val="0"/>
          <w:spacing w:val="-9"/>
          <w:sz w:val="32"/>
          <w:szCs w:val="32"/>
        </w:rPr>
        <w:t>2.保险责任：</w:t>
      </w:r>
    </w:p>
    <w:p>
      <w:pPr>
        <w:keepNext w:val="0"/>
        <w:keepLines w:val="0"/>
        <w:pageBreakBefore w:val="0"/>
        <w:widowControl w:val="0"/>
        <w:kinsoku/>
        <w:wordWrap/>
        <w:overflowPunct/>
        <w:topLinePunct w:val="0"/>
        <w:autoSpaceDE/>
        <w:autoSpaceDN/>
        <w:bidi w:val="0"/>
        <w:snapToGrid/>
        <w:spacing w:line="560" w:lineRule="exact"/>
        <w:ind w:firstLine="604" w:firstLineChars="200"/>
        <w:rPr>
          <w:rFonts w:hint="eastAsia" w:ascii="仿宋_GB2312" w:hAnsi="仿宋_GB2312" w:eastAsia="仿宋_GB2312" w:cs="仿宋_GB2312"/>
          <w:b w:val="0"/>
          <w:bCs w:val="0"/>
          <w:spacing w:val="-9"/>
          <w:sz w:val="32"/>
          <w:szCs w:val="32"/>
        </w:rPr>
      </w:pPr>
      <w:r>
        <w:rPr>
          <w:rFonts w:hint="eastAsia" w:ascii="仿宋_GB2312" w:hAnsi="仿宋_GB2312" w:eastAsia="仿宋_GB2312" w:cs="仿宋_GB2312"/>
          <w:b w:val="0"/>
          <w:bCs w:val="0"/>
          <w:spacing w:val="-9"/>
          <w:sz w:val="32"/>
          <w:szCs w:val="32"/>
        </w:rPr>
        <w:t>在保险期间内，当投保地理区域出现约定的暴雨灾害或高温灾害事件时，视为发生灾害事故，承保机构按有关保险条款和合同约定负责赔偿。</w:t>
      </w:r>
    </w:p>
    <w:p>
      <w:pPr>
        <w:keepNext w:val="0"/>
        <w:keepLines w:val="0"/>
        <w:pageBreakBefore w:val="0"/>
        <w:widowControl w:val="0"/>
        <w:kinsoku/>
        <w:wordWrap/>
        <w:overflowPunct/>
        <w:topLinePunct w:val="0"/>
        <w:autoSpaceDE/>
        <w:autoSpaceDN/>
        <w:bidi w:val="0"/>
        <w:snapToGrid/>
        <w:spacing w:line="560" w:lineRule="exact"/>
        <w:ind w:firstLine="604" w:firstLineChars="200"/>
        <w:rPr>
          <w:rFonts w:hint="eastAsia" w:ascii="仿宋_GB2312" w:hAnsi="仿宋_GB2312" w:eastAsia="仿宋_GB2312" w:cs="仿宋_GB2312"/>
          <w:b w:val="0"/>
          <w:bCs w:val="0"/>
          <w:spacing w:val="-9"/>
          <w:sz w:val="32"/>
          <w:szCs w:val="32"/>
        </w:rPr>
      </w:pPr>
      <w:r>
        <w:rPr>
          <w:rFonts w:hint="eastAsia" w:ascii="仿宋_GB2312" w:hAnsi="仿宋_GB2312" w:eastAsia="仿宋_GB2312" w:cs="仿宋_GB2312"/>
          <w:b w:val="0"/>
          <w:bCs w:val="0"/>
          <w:spacing w:val="-9"/>
          <w:sz w:val="32"/>
          <w:szCs w:val="32"/>
        </w:rPr>
        <w:t xml:space="preserve">3.保险金额：保险金额是指保险期间承保机构承担的保险责任赔偿限额。根据保险标的所投入的综合成本，明确投保份数，确定保险金额。 </w:t>
      </w:r>
    </w:p>
    <w:p>
      <w:pPr>
        <w:keepNext w:val="0"/>
        <w:keepLines w:val="0"/>
        <w:pageBreakBefore w:val="0"/>
        <w:widowControl w:val="0"/>
        <w:kinsoku/>
        <w:wordWrap/>
        <w:overflowPunct/>
        <w:topLinePunct w:val="0"/>
        <w:autoSpaceDE/>
        <w:autoSpaceDN/>
        <w:bidi w:val="0"/>
        <w:snapToGrid/>
        <w:spacing w:line="560" w:lineRule="exact"/>
        <w:ind w:firstLine="604" w:firstLineChars="200"/>
        <w:rPr>
          <w:rFonts w:hint="eastAsia" w:ascii="仿宋_GB2312" w:hAnsi="仿宋_GB2312" w:eastAsia="仿宋_GB2312" w:cs="仿宋_GB2312"/>
          <w:b w:val="0"/>
          <w:bCs w:val="0"/>
          <w:spacing w:val="-9"/>
          <w:sz w:val="32"/>
          <w:szCs w:val="32"/>
        </w:rPr>
      </w:pPr>
      <w:r>
        <w:rPr>
          <w:rFonts w:hint="eastAsia" w:ascii="仿宋_GB2312" w:hAnsi="仿宋_GB2312" w:eastAsia="仿宋_GB2312" w:cs="仿宋_GB2312"/>
          <w:b w:val="0"/>
          <w:bCs w:val="0"/>
          <w:spacing w:val="-9"/>
          <w:sz w:val="32"/>
          <w:szCs w:val="32"/>
        </w:rPr>
        <w:t>单位保险金额=1000元/份</w:t>
      </w:r>
    </w:p>
    <w:p>
      <w:pPr>
        <w:keepNext w:val="0"/>
        <w:keepLines w:val="0"/>
        <w:pageBreakBefore w:val="0"/>
        <w:widowControl w:val="0"/>
        <w:kinsoku/>
        <w:wordWrap/>
        <w:overflowPunct/>
        <w:topLinePunct w:val="0"/>
        <w:autoSpaceDE/>
        <w:autoSpaceDN/>
        <w:bidi w:val="0"/>
        <w:snapToGrid/>
        <w:spacing w:line="560" w:lineRule="exact"/>
        <w:ind w:firstLine="604" w:firstLineChars="200"/>
        <w:rPr>
          <w:rFonts w:hint="eastAsia" w:ascii="仿宋_GB2312" w:hAnsi="仿宋_GB2312" w:eastAsia="仿宋_GB2312" w:cs="仿宋_GB2312"/>
          <w:b w:val="0"/>
          <w:bCs w:val="0"/>
          <w:spacing w:val="-9"/>
          <w:sz w:val="32"/>
          <w:szCs w:val="32"/>
        </w:rPr>
      </w:pPr>
      <w:r>
        <w:rPr>
          <w:rFonts w:hint="eastAsia" w:ascii="仿宋_GB2312" w:hAnsi="仿宋_GB2312" w:eastAsia="仿宋_GB2312" w:cs="仿宋_GB2312"/>
          <w:b w:val="0"/>
          <w:bCs w:val="0"/>
          <w:spacing w:val="-9"/>
          <w:sz w:val="32"/>
          <w:szCs w:val="32"/>
        </w:rPr>
        <w:t>保险金额=单位保险金额×投保份数</w:t>
      </w:r>
    </w:p>
    <w:p>
      <w:pPr>
        <w:keepNext w:val="0"/>
        <w:keepLines w:val="0"/>
        <w:pageBreakBefore w:val="0"/>
        <w:widowControl w:val="0"/>
        <w:kinsoku/>
        <w:wordWrap/>
        <w:overflowPunct/>
        <w:topLinePunct w:val="0"/>
        <w:autoSpaceDE/>
        <w:autoSpaceDN/>
        <w:bidi w:val="0"/>
        <w:snapToGrid/>
        <w:spacing w:line="560" w:lineRule="exact"/>
        <w:ind w:firstLine="604" w:firstLineChars="200"/>
        <w:rPr>
          <w:rFonts w:hint="eastAsia" w:ascii="仿宋_GB2312" w:hAnsi="仿宋_GB2312" w:eastAsia="仿宋_GB2312" w:cs="仿宋_GB2312"/>
          <w:b w:val="0"/>
          <w:bCs w:val="0"/>
          <w:spacing w:val="-9"/>
          <w:sz w:val="32"/>
          <w:szCs w:val="32"/>
        </w:rPr>
      </w:pPr>
      <w:r>
        <w:rPr>
          <w:rFonts w:hint="eastAsia" w:ascii="仿宋_GB2312" w:hAnsi="仿宋_GB2312" w:eastAsia="仿宋_GB2312" w:cs="仿宋_GB2312"/>
          <w:b w:val="0"/>
          <w:bCs w:val="0"/>
          <w:spacing w:val="-9"/>
          <w:sz w:val="32"/>
          <w:szCs w:val="32"/>
        </w:rPr>
        <w:t>4.保险费率：暴雨灾害费率6%；高温灾害费率6%。</w:t>
      </w:r>
    </w:p>
    <w:p>
      <w:pPr>
        <w:keepNext w:val="0"/>
        <w:keepLines w:val="0"/>
        <w:pageBreakBefore w:val="0"/>
        <w:widowControl w:val="0"/>
        <w:kinsoku/>
        <w:wordWrap/>
        <w:overflowPunct/>
        <w:topLinePunct w:val="0"/>
        <w:autoSpaceDE/>
        <w:autoSpaceDN/>
        <w:bidi w:val="0"/>
        <w:snapToGrid/>
        <w:spacing w:line="560" w:lineRule="exact"/>
        <w:ind w:firstLine="604" w:firstLineChars="200"/>
        <w:rPr>
          <w:rFonts w:hint="eastAsia" w:ascii="仿宋_GB2312" w:hAnsi="仿宋_GB2312" w:eastAsia="仿宋_GB2312" w:cs="仿宋_GB2312"/>
          <w:b w:val="0"/>
          <w:bCs w:val="0"/>
          <w:spacing w:val="-9"/>
          <w:sz w:val="32"/>
          <w:szCs w:val="32"/>
        </w:rPr>
      </w:pPr>
      <w:r>
        <w:rPr>
          <w:rFonts w:hint="eastAsia" w:ascii="仿宋_GB2312" w:hAnsi="仿宋_GB2312" w:eastAsia="仿宋_GB2312" w:cs="仿宋_GB2312"/>
          <w:b w:val="0"/>
          <w:bCs w:val="0"/>
          <w:spacing w:val="-9"/>
          <w:sz w:val="32"/>
          <w:szCs w:val="32"/>
        </w:rPr>
        <w:t>5.赔偿标准：</w:t>
      </w:r>
    </w:p>
    <w:p>
      <w:pPr>
        <w:keepNext w:val="0"/>
        <w:keepLines w:val="0"/>
        <w:pageBreakBefore w:val="0"/>
        <w:widowControl w:val="0"/>
        <w:kinsoku/>
        <w:wordWrap/>
        <w:overflowPunct/>
        <w:topLinePunct w:val="0"/>
        <w:autoSpaceDE/>
        <w:autoSpaceDN/>
        <w:bidi w:val="0"/>
        <w:snapToGrid/>
        <w:spacing w:line="560" w:lineRule="exact"/>
        <w:ind w:firstLine="604" w:firstLineChars="200"/>
        <w:jc w:val="left"/>
        <w:rPr>
          <w:rFonts w:hint="eastAsia" w:ascii="仿宋_GB2312" w:hAnsi="仿宋_GB2312" w:eastAsia="仿宋_GB2312" w:cs="仿宋_GB2312"/>
          <w:b w:val="0"/>
          <w:bCs w:val="0"/>
          <w:spacing w:val="-9"/>
          <w:sz w:val="32"/>
          <w:szCs w:val="32"/>
        </w:rPr>
      </w:pPr>
      <w:r>
        <w:rPr>
          <w:rFonts w:hint="eastAsia" w:ascii="仿宋_GB2312" w:hAnsi="仿宋_GB2312" w:eastAsia="仿宋_GB2312" w:cs="仿宋_GB2312"/>
          <w:b w:val="0"/>
          <w:bCs w:val="0"/>
          <w:spacing w:val="-9"/>
          <w:sz w:val="32"/>
          <w:szCs w:val="32"/>
        </w:rPr>
        <w:t>保险期间投保地发生本保险合同约定的保险事故，按照以下方式计算赔偿。</w:t>
      </w:r>
    </w:p>
    <w:p>
      <w:pPr>
        <w:keepNext w:val="0"/>
        <w:keepLines w:val="0"/>
        <w:pageBreakBefore w:val="0"/>
        <w:widowControl w:val="0"/>
        <w:kinsoku/>
        <w:wordWrap/>
        <w:overflowPunct/>
        <w:topLinePunct w:val="0"/>
        <w:autoSpaceDE/>
        <w:autoSpaceDN/>
        <w:bidi w:val="0"/>
        <w:snapToGrid/>
        <w:spacing w:line="560" w:lineRule="exact"/>
        <w:ind w:firstLine="604" w:firstLineChars="200"/>
        <w:textAlignment w:val="baseline"/>
        <w:rPr>
          <w:rFonts w:hint="eastAsia" w:ascii="仿宋_GB2312" w:hAnsi="仿宋_GB2312" w:eastAsia="仿宋_GB2312" w:cs="仿宋_GB2312"/>
          <w:b w:val="0"/>
          <w:bCs w:val="0"/>
          <w:spacing w:val="-9"/>
          <w:sz w:val="32"/>
          <w:szCs w:val="32"/>
        </w:rPr>
      </w:pPr>
      <w:r>
        <w:rPr>
          <w:rFonts w:hint="eastAsia" w:ascii="仿宋_GB2312" w:hAnsi="仿宋_GB2312" w:eastAsia="仿宋_GB2312" w:cs="仿宋_GB2312"/>
          <w:b w:val="0"/>
          <w:bCs w:val="0"/>
          <w:spacing w:val="-9"/>
          <w:sz w:val="32"/>
          <w:szCs w:val="32"/>
        </w:rPr>
        <w:t>赔偿金额根据保险期间内最大的一次暴雨灾害或高温灾害所对应的赔偿标准进行赔付；如发生多次灾害，则按最大一次灾害计算赔款，而不重复赔偿。</w:t>
      </w:r>
    </w:p>
    <w:p>
      <w:pPr>
        <w:keepNext w:val="0"/>
        <w:keepLines w:val="0"/>
        <w:pageBreakBefore w:val="0"/>
        <w:widowControl w:val="0"/>
        <w:kinsoku/>
        <w:wordWrap/>
        <w:overflowPunct/>
        <w:topLinePunct w:val="0"/>
        <w:autoSpaceDE/>
        <w:autoSpaceDN/>
        <w:bidi w:val="0"/>
        <w:snapToGrid/>
        <w:spacing w:line="560" w:lineRule="exact"/>
        <w:ind w:firstLine="604" w:firstLineChars="200"/>
        <w:textAlignment w:val="baseline"/>
        <w:rPr>
          <w:rFonts w:hint="eastAsia" w:ascii="仿宋_GB2312" w:hAnsi="仿宋_GB2312" w:eastAsia="仿宋_GB2312" w:cs="仿宋_GB2312"/>
          <w:b w:val="0"/>
          <w:bCs w:val="0"/>
          <w:spacing w:val="-9"/>
          <w:sz w:val="32"/>
          <w:szCs w:val="32"/>
        </w:rPr>
      </w:pPr>
      <w:r>
        <w:rPr>
          <w:rFonts w:hint="eastAsia" w:ascii="仿宋_GB2312" w:hAnsi="仿宋_GB2312" w:eastAsia="仿宋_GB2312" w:cs="仿宋_GB2312"/>
          <w:b w:val="0"/>
          <w:bCs w:val="0"/>
          <w:spacing w:val="-9"/>
          <w:sz w:val="32"/>
          <w:szCs w:val="32"/>
        </w:rPr>
        <w:t>赔偿金额=单位赔偿金额×投保份数。</w:t>
      </w:r>
    </w:p>
    <w:p>
      <w:pPr>
        <w:keepNext w:val="0"/>
        <w:keepLines w:val="0"/>
        <w:pageBreakBefore w:val="0"/>
        <w:widowControl w:val="0"/>
        <w:kinsoku/>
        <w:wordWrap/>
        <w:overflowPunct/>
        <w:topLinePunct w:val="0"/>
        <w:autoSpaceDE/>
        <w:autoSpaceDN/>
        <w:bidi w:val="0"/>
        <w:snapToGrid/>
        <w:spacing w:line="560" w:lineRule="exact"/>
        <w:ind w:firstLine="604" w:firstLineChars="200"/>
        <w:rPr>
          <w:rFonts w:hint="eastAsia" w:ascii="仿宋_GB2312" w:hAnsi="仿宋_GB2312" w:eastAsia="仿宋_GB2312" w:cs="仿宋_GB2312"/>
          <w:b w:val="0"/>
          <w:bCs w:val="0"/>
          <w:spacing w:val="-9"/>
          <w:sz w:val="32"/>
          <w:szCs w:val="32"/>
        </w:rPr>
      </w:pPr>
      <w:r>
        <w:rPr>
          <w:rFonts w:hint="eastAsia" w:ascii="仿宋_GB2312" w:hAnsi="仿宋_GB2312" w:eastAsia="仿宋_GB2312" w:cs="仿宋_GB2312"/>
          <w:b w:val="0"/>
          <w:bCs w:val="0"/>
          <w:spacing w:val="-9"/>
          <w:sz w:val="32"/>
          <w:szCs w:val="32"/>
        </w:rPr>
        <w:t>6.参保方式：尊重渔民参保意愿，采取多种形式组织渔民参保。</w:t>
      </w:r>
    </w:p>
    <w:p>
      <w:pPr>
        <w:keepNext w:val="0"/>
        <w:keepLines w:val="0"/>
        <w:pageBreakBefore w:val="0"/>
        <w:widowControl w:val="0"/>
        <w:kinsoku/>
        <w:wordWrap/>
        <w:overflowPunct/>
        <w:topLinePunct w:val="0"/>
        <w:autoSpaceDE/>
        <w:autoSpaceDN/>
        <w:bidi w:val="0"/>
        <w:adjustRightInd w:val="0"/>
        <w:snapToGrid/>
        <w:spacing w:line="560" w:lineRule="exact"/>
        <w:ind w:firstLine="604" w:firstLineChars="200"/>
        <w:rPr>
          <w:rFonts w:hint="eastAsia" w:ascii="仿宋_GB2312" w:hAnsi="仿宋_GB2312" w:eastAsia="仿宋_GB2312" w:cs="仿宋_GB2312"/>
          <w:b w:val="0"/>
          <w:bCs w:val="0"/>
          <w:spacing w:val="-9"/>
          <w:sz w:val="32"/>
          <w:szCs w:val="32"/>
        </w:rPr>
      </w:pPr>
      <w:r>
        <w:rPr>
          <w:rFonts w:hint="eastAsia" w:ascii="仿宋_GB2312" w:hAnsi="仿宋_GB2312" w:eastAsia="仿宋_GB2312" w:cs="仿宋_GB2312"/>
          <w:b w:val="0"/>
          <w:bCs w:val="0"/>
          <w:spacing w:val="-9"/>
          <w:sz w:val="32"/>
          <w:szCs w:val="32"/>
        </w:rPr>
        <w:t>7.保费财政补贴：省级财政补贴30%;市级财政补贴3%、县级财政补贴7%。</w:t>
      </w: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0" w:firstLineChars="0"/>
        <w:textAlignment w:val="auto"/>
        <w:rPr>
          <w:rFonts w:hint="eastAsia" w:ascii="仿宋_GB2312" w:hAnsi="宋体" w:eastAsia="仿宋_GB2312"/>
          <w:sz w:val="28"/>
          <w:szCs w:val="28"/>
          <w:lang w:val="en-US" w:eastAsia="zh-CN"/>
        </w:rPr>
      </w:pP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0" w:firstLineChars="0"/>
        <w:textAlignment w:val="auto"/>
        <w:rPr>
          <w:rFonts w:hint="eastAsia" w:ascii="仿宋_GB2312" w:hAnsi="宋体" w:eastAsia="仿宋_GB2312"/>
          <w:sz w:val="28"/>
          <w:szCs w:val="28"/>
          <w:lang w:val="en-US" w:eastAsia="zh-CN"/>
        </w:rPr>
      </w:pP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0" w:firstLineChars="0"/>
        <w:textAlignment w:val="auto"/>
        <w:rPr>
          <w:rFonts w:hint="eastAsia" w:ascii="仿宋_GB2312" w:hAnsi="宋体" w:eastAsia="仿宋_GB2312"/>
          <w:sz w:val="28"/>
          <w:szCs w:val="28"/>
          <w:lang w:val="en-US" w:eastAsia="zh-CN"/>
        </w:rPr>
      </w:pPr>
      <w:bookmarkStart w:id="0" w:name="_GoBack"/>
      <w:bookmarkEnd w:id="0"/>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0" w:firstLineChars="0"/>
        <w:textAlignment w:val="auto"/>
        <w:rPr>
          <w:rFonts w:hint="eastAsia" w:ascii="仿宋_GB2312" w:hAnsi="宋体" w:eastAsia="仿宋_GB2312"/>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beforeAutospacing="0" w:line="560" w:lineRule="exact"/>
        <w:ind w:firstLine="219" w:firstLineChars="85"/>
        <w:textAlignment w:val="auto"/>
        <w:rPr>
          <w:rFonts w:hint="eastAsia" w:ascii="仿宋_GB2312" w:hAnsi="宋体" w:eastAsia="仿宋_GB2312"/>
          <w:spacing w:val="-11"/>
          <w:sz w:val="28"/>
          <w:szCs w:val="28"/>
          <w:lang w:val="en-US" w:eastAsia="zh-CN"/>
        </w:rPr>
      </w:pPr>
      <w:r>
        <w:rPr>
          <w:spacing w:val="-11"/>
          <w:sz w:val="28"/>
          <w:szCs w:val="28"/>
        </w:rPr>
        <mc:AlternateContent>
          <mc:Choice Requires="wps">
            <w:drawing>
              <wp:anchor distT="0" distB="0" distL="114300" distR="114300" simplePos="0" relativeHeight="251692032" behindDoc="0" locked="0" layoutInCell="1" allowOverlap="1">
                <wp:simplePos x="0" y="0"/>
                <wp:positionH relativeFrom="column">
                  <wp:posOffset>-144780</wp:posOffset>
                </wp:positionH>
                <wp:positionV relativeFrom="paragraph">
                  <wp:posOffset>32385</wp:posOffset>
                </wp:positionV>
                <wp:extent cx="5829300" cy="0"/>
                <wp:effectExtent l="0" t="0" r="0" b="0"/>
                <wp:wrapNone/>
                <wp:docPr id="1" name="直接连接符 1"/>
                <wp:cNvGraphicFramePr/>
                <a:graphic xmlns:a="http://schemas.openxmlformats.org/drawingml/2006/main">
                  <a:graphicData uri="http://schemas.microsoft.com/office/word/2010/wordprocessingShape">
                    <wps:wsp>
                      <wps:cNvCnPr/>
                      <wps:spPr>
                        <a:xfrm>
                          <a:off x="0" y="0"/>
                          <a:ext cx="5829300"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11.4pt;margin-top:2.55pt;height:0pt;width:459pt;z-index:251692032;mso-width-relative:page;mso-height-relative:page;" filled="f" stroked="t" coordsize="21600,21600" o:gfxdata="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BQ7bSe1QAAAAcBAAAPAAAA&#10;AAAAAAEAIAAAACIAAABkcnMvZG93bnJldi54bWxQSwECFAAUAAAACACHTuJADXFoTt8BAACkAwAA&#10;DgAAAAAAAAABACAAAAAkAQAAZHJzL2Uyb0RvYy54bWxQSwUGAAAAAAYABgBZAQAAdQUAAAAA&#10;">
                <v:fill on="f" focussize="0,0"/>
                <v:stroke color="#000000" joinstyle="round"/>
                <v:imagedata o:title=""/>
                <o:lock v:ext="edit" aspectratio="f"/>
              </v:line>
            </w:pict>
          </mc:Fallback>
        </mc:AlternateContent>
      </w:r>
      <w:r>
        <w:rPr>
          <w:rFonts w:hint="eastAsia" w:ascii="仿宋_GB2312" w:hAnsi="宋体" w:eastAsia="仿宋_GB2312"/>
          <w:spacing w:val="-11"/>
          <w:sz w:val="28"/>
          <w:szCs w:val="28"/>
          <w:lang w:val="en-US" w:eastAsia="zh-CN"/>
        </w:rPr>
        <w:t>抄送：省海洋与渔业厅、财政厅。</w:t>
      </w:r>
    </w:p>
    <w:p>
      <w:pPr>
        <w:keepNext w:val="0"/>
        <w:keepLines w:val="0"/>
        <w:pageBreakBefore w:val="0"/>
        <w:widowControl w:val="0"/>
        <w:kinsoku/>
        <w:wordWrap/>
        <w:overflowPunct/>
        <w:topLinePunct w:val="0"/>
        <w:autoSpaceDE/>
        <w:autoSpaceDN/>
        <w:bidi w:val="0"/>
        <w:adjustRightInd/>
        <w:snapToGrid/>
        <w:spacing w:beforeAutospacing="0" w:line="560" w:lineRule="exact"/>
        <w:ind w:firstLine="238" w:firstLineChars="85"/>
        <w:textAlignment w:val="auto"/>
        <w:rPr>
          <w:rFonts w:hint="default" w:ascii="仿宋_GB2312" w:eastAsia="仿宋_GB2312"/>
          <w:sz w:val="28"/>
          <w:szCs w:val="28"/>
          <w:lang w:val="en-US"/>
        </w:rPr>
      </w:pPr>
      <w:r>
        <w:rPr>
          <w:sz w:val="28"/>
          <w:szCs w:val="28"/>
        </w:rPr>
        <mc:AlternateContent>
          <mc:Choice Requires="wps">
            <w:drawing>
              <wp:anchor distT="0" distB="0" distL="114300" distR="114300" simplePos="0" relativeHeight="251673600" behindDoc="0" locked="0" layoutInCell="1" allowOverlap="1">
                <wp:simplePos x="0" y="0"/>
                <wp:positionH relativeFrom="column">
                  <wp:posOffset>-128270</wp:posOffset>
                </wp:positionH>
                <wp:positionV relativeFrom="paragraph">
                  <wp:posOffset>46990</wp:posOffset>
                </wp:positionV>
                <wp:extent cx="5829300" cy="0"/>
                <wp:effectExtent l="0" t="0" r="0" b="0"/>
                <wp:wrapNone/>
                <wp:docPr id="7" name="直接连接符 7"/>
                <wp:cNvGraphicFramePr/>
                <a:graphic xmlns:a="http://schemas.openxmlformats.org/drawingml/2006/main">
                  <a:graphicData uri="http://schemas.microsoft.com/office/word/2010/wordprocessingShape">
                    <wps:wsp>
                      <wps:cNvCnPr/>
                      <wps:spPr>
                        <a:xfrm>
                          <a:off x="0" y="0"/>
                          <a:ext cx="5829300" cy="0"/>
                        </a:xfrm>
                        <a:prstGeom prst="line">
                          <a:avLst/>
                        </a:prstGeom>
                        <a:ln w="6350">
                          <a:headEnd type="none" w="med" len="med"/>
                          <a:tailEnd type="none" w="med" len="med"/>
                        </a:ln>
                      </wps:spPr>
                      <wps:style>
                        <a:lnRef idx="1">
                          <a:schemeClr val="dk1"/>
                        </a:lnRef>
                        <a:fillRef idx="0">
                          <a:schemeClr val="dk1"/>
                        </a:fillRef>
                        <a:effectRef idx="0">
                          <a:schemeClr val="dk1"/>
                        </a:effectRef>
                        <a:fontRef idx="minor">
                          <a:schemeClr val="tx1"/>
                        </a:fontRef>
                      </wps:style>
                      <wps:bodyPr upright="1"/>
                    </wps:wsp>
                  </a:graphicData>
                </a:graphic>
              </wp:anchor>
            </w:drawing>
          </mc:Choice>
          <mc:Fallback>
            <w:pict>
              <v:line id="_x0000_s1026" o:spid="_x0000_s1026" o:spt="20" style="position:absolute;left:0pt;margin-left:-10.1pt;margin-top:3.7pt;height:0pt;width:459pt;z-index:251673600;mso-width-relative:page;mso-height-relative:page;" filled="f" stroked="t" coordsize="21600,21600" o:gfxdata="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rHXk7NQAAAAHAQAADwAAAAAAAAABACAAAAAiAAAAZHJzL2Rvd25yZXYueG1s&#10;UEsBAhQAFAAAAAgAh07iQMtovgT8AQAA5QMAAA4AAAAAAAAAAQAgAAAAIwEAAGRycy9lMm9Eb2Mu&#10;eG1sUEsFBgAAAAAGAAYAWQEAAJEFAAAAAA==&#10;">
                <v:fill on="f" focussize="0,0"/>
                <v:stroke weight="0.5pt" color="#000000 [3200]" joinstyle="round"/>
                <v:imagedata o:title=""/>
                <o:lock v:ext="edit" aspectratio="f"/>
              </v:line>
            </w:pict>
          </mc:Fallback>
        </mc:AlternateContent>
      </w:r>
      <w:r>
        <w:rPr>
          <w:rFonts w:hint="eastAsia" w:ascii="仿宋_GB2312" w:hAnsi="宋体" w:eastAsia="仿宋_GB2312"/>
          <w:sz w:val="28"/>
          <w:szCs w:val="28"/>
        </w:rPr>
        <w:t>龙岩市农业农村局办公室</w:t>
      </w:r>
      <w:r>
        <w:rPr>
          <w:rFonts w:ascii="仿宋_GB2312" w:hAnsi="宋体" w:eastAsia="仿宋_GB2312"/>
          <w:sz w:val="28"/>
          <w:szCs w:val="28"/>
        </w:rPr>
        <w:t xml:space="preserve">            </w:t>
      </w:r>
      <w:r>
        <w:rPr>
          <w:rFonts w:hint="eastAsia" w:ascii="仿宋_GB2312" w:hAnsi="宋体" w:eastAsia="仿宋_GB2312"/>
          <w:sz w:val="28"/>
          <w:szCs w:val="28"/>
          <w:lang w:val="en-US" w:eastAsia="zh-CN"/>
        </w:rPr>
        <w:t xml:space="preserve">  </w:t>
      </w:r>
      <w:r>
        <w:rPr>
          <w:rFonts w:ascii="仿宋_GB2312" w:hAnsi="宋体" w:eastAsia="仿宋_GB2312"/>
          <w:sz w:val="28"/>
          <w:szCs w:val="28"/>
        </w:rPr>
        <w:t xml:space="preserve">       202</w:t>
      </w:r>
      <w:r>
        <w:rPr>
          <w:rFonts w:hint="eastAsia" w:ascii="仿宋_GB2312" w:hAnsi="宋体" w:eastAsia="仿宋_GB2312"/>
          <w:sz w:val="28"/>
          <w:szCs w:val="28"/>
          <w:lang w:val="en-US" w:eastAsia="zh-CN"/>
        </w:rPr>
        <w:t>2</w:t>
      </w:r>
      <w:r>
        <w:rPr>
          <w:rFonts w:hint="eastAsia" w:ascii="仿宋_GB2312" w:hAnsi="宋体" w:eastAsia="仿宋_GB2312"/>
          <w:sz w:val="28"/>
          <w:szCs w:val="28"/>
        </w:rPr>
        <w:t>年</w:t>
      </w:r>
      <w:r>
        <w:rPr>
          <w:rFonts w:hint="eastAsia" w:ascii="仿宋_GB2312" w:hAnsi="宋体" w:eastAsia="仿宋_GB2312"/>
          <w:sz w:val="28"/>
          <w:szCs w:val="28"/>
          <w:lang w:val="en-US" w:eastAsia="zh-CN"/>
        </w:rPr>
        <w:t>7</w:t>
      </w:r>
      <w:r>
        <w:rPr>
          <w:rFonts w:hint="eastAsia" w:ascii="仿宋_GB2312" w:hAnsi="宋体" w:eastAsia="仿宋_GB2312"/>
          <w:sz w:val="28"/>
          <w:szCs w:val="28"/>
        </w:rPr>
        <w:t>月</w:t>
      </w:r>
      <w:r>
        <w:rPr>
          <w:rFonts w:hint="eastAsia" w:ascii="仿宋_GB2312" w:hAnsi="宋体" w:eastAsia="仿宋_GB2312"/>
          <w:sz w:val="28"/>
          <w:szCs w:val="28"/>
          <w:lang w:val="en-US" w:eastAsia="zh-CN"/>
        </w:rPr>
        <w:t>4日</w:t>
      </w:r>
      <w:r>
        <w:rPr>
          <w:rFonts w:hint="eastAsia" w:ascii="仿宋_GB2312" w:hAnsi="宋体" w:eastAsia="仿宋_GB2312"/>
          <w:sz w:val="28"/>
          <w:szCs w:val="28"/>
        </w:rPr>
        <w:t>印发</w:t>
      </w:r>
      <w:r>
        <w:rPr>
          <w:sz w:val="28"/>
          <w:szCs w:val="28"/>
        </w:rPr>
        <mc:AlternateContent>
          <mc:Choice Requires="wps">
            <w:drawing>
              <wp:anchor distT="0" distB="0" distL="114300" distR="114300" simplePos="0" relativeHeight="251670528" behindDoc="0" locked="0" layoutInCell="1" allowOverlap="1">
                <wp:simplePos x="0" y="0"/>
                <wp:positionH relativeFrom="column">
                  <wp:posOffset>858520</wp:posOffset>
                </wp:positionH>
                <wp:positionV relativeFrom="paragraph">
                  <wp:posOffset>9071610</wp:posOffset>
                </wp:positionV>
                <wp:extent cx="5829300" cy="0"/>
                <wp:effectExtent l="0" t="0" r="0" b="0"/>
                <wp:wrapNone/>
                <wp:docPr id="9" name="直接连接符 9"/>
                <wp:cNvGraphicFramePr/>
                <a:graphic xmlns:a="http://schemas.openxmlformats.org/drawingml/2006/main">
                  <a:graphicData uri="http://schemas.microsoft.com/office/word/2010/wordprocessingShape">
                    <wps:wsp>
                      <wps:cNvCnPr/>
                      <wps:spPr>
                        <a:xfrm>
                          <a:off x="0" y="0"/>
                          <a:ext cx="5829300"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67.6pt;margin-top:714.3pt;height:0pt;width:459pt;z-index:251670528;mso-width-relative:page;mso-height-relative:page;" filled="f" stroked="t" coordsize="21600,21600" o:gfxdata="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MpCs5XXAAAADgEAAA8A&#10;AAAAAAAAAQAgAAAAIgAAAGRycy9kb3ducmV2LnhtbFBLAQIUABQAAAAIAIdO4kCyx6Za3wEAAKQD&#10;AAAOAAAAAAAAAAEAIAAAACYBAABkcnMvZTJvRG9jLnhtbFBLBQYAAAAABgAGAFkBAAB3BQAAAAA=&#10;">
                <v:fill on="f" focussize="0,0"/>
                <v:stroke color="#000000" joinstyle="round"/>
                <v:imagedata o:title=""/>
                <o:lock v:ext="edit" aspectratio="f"/>
              </v:line>
            </w:pict>
          </mc:Fallback>
        </mc:AlternateContent>
      </w:r>
    </w:p>
    <w:p>
      <w:pPr>
        <w:pStyle w:val="2"/>
        <w:keepNext w:val="0"/>
        <w:keepLines w:val="0"/>
        <w:pageBreakBefore w:val="0"/>
        <w:widowControl w:val="0"/>
        <w:kinsoku/>
        <w:wordWrap/>
        <w:overflowPunct/>
        <w:topLinePunct w:val="0"/>
        <w:autoSpaceDE/>
        <w:autoSpaceDN/>
        <w:bidi w:val="0"/>
        <w:snapToGrid/>
        <w:spacing w:after="0" w:line="560" w:lineRule="exact"/>
        <w:rPr>
          <w:rFonts w:hint="default"/>
          <w:lang w:val="en-US" w:eastAsia="zh-CN"/>
        </w:rPr>
      </w:pPr>
      <w:r>
        <w:rPr>
          <w:sz w:val="28"/>
          <w:szCs w:val="28"/>
        </w:rPr>
        <mc:AlternateContent>
          <mc:Choice Requires="wps">
            <w:drawing>
              <wp:anchor distT="0" distB="0" distL="114300" distR="114300" simplePos="0" relativeHeight="251674624" behindDoc="0" locked="0" layoutInCell="1" allowOverlap="1">
                <wp:simplePos x="0" y="0"/>
                <wp:positionH relativeFrom="column">
                  <wp:posOffset>-116205</wp:posOffset>
                </wp:positionH>
                <wp:positionV relativeFrom="paragraph">
                  <wp:posOffset>57785</wp:posOffset>
                </wp:positionV>
                <wp:extent cx="5829300" cy="0"/>
                <wp:effectExtent l="0" t="0" r="0" b="0"/>
                <wp:wrapNone/>
                <wp:docPr id="8" name="直接连接符 8"/>
                <wp:cNvGraphicFramePr/>
                <a:graphic xmlns:a="http://schemas.openxmlformats.org/drawingml/2006/main">
                  <a:graphicData uri="http://schemas.microsoft.com/office/word/2010/wordprocessingShape">
                    <wps:wsp>
                      <wps:cNvCnPr/>
                      <wps:spPr>
                        <a:xfrm>
                          <a:off x="0" y="0"/>
                          <a:ext cx="5829300"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9.15pt;margin-top:4.55pt;height:0pt;width:459pt;z-index:251674624;mso-width-relative:page;mso-height-relative:page;" filled="f" stroked="t" coordsize="21600,21600" o:gfxdata="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ALE8v/1QAAAAcBAAAPAAAA&#10;AAAAAAEAIAAAACIAAABkcnMvZG93bnJldi54bWxQSwECFAAUAAAACACHTuJAHfM1+N8BAACkAwAA&#10;DgAAAAAAAAABACAAAAAkAQAAZHJzL2Uyb0RvYy54bWxQSwUGAAAAAAYABgBZAQAAdQUAAAAA&#10;">
                <v:fill on="f" focussize="0,0"/>
                <v:stroke color="#000000" joinstyle="round"/>
                <v:imagedata o:title=""/>
                <o:lock v:ext="edit" aspectratio="f"/>
              </v:line>
            </w:pict>
          </mc:Fallback>
        </mc:AlternateContent>
      </w:r>
    </w:p>
    <w:sectPr>
      <w:footerReference r:id="rId3" w:type="default"/>
      <w:pgSz w:w="11907" w:h="16840"/>
      <w:pgMar w:top="2098" w:right="1531" w:bottom="1814" w:left="1531" w:header="851" w:footer="1531" w:gutter="0"/>
      <w:pgNumType w:fmt="decimal"/>
      <w:cols w:space="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3000509000000000000"/>
    <w:charset w:val="86"/>
    <w:family w:val="auto"/>
    <w:pitch w:val="default"/>
    <w:sig w:usb0="00000001" w:usb1="080E0000" w:usb2="00000000" w:usb3="00000000" w:csb0="00040000" w:csb1="00000000"/>
  </w:font>
  <w:font w:name="Cambria">
    <w:panose1 w:val="02040503050406030204"/>
    <w:charset w:val="00"/>
    <w:family w:val="roman"/>
    <w:pitch w:val="default"/>
    <w:sig w:usb0="E00002FF" w:usb1="400004FF" w:usb2="00000000" w:usb3="00000000" w:csb0="2000019F" w:csb1="00000000"/>
  </w:font>
  <w:font w:name="DengXian-Light">
    <w:altName w:val="微软雅黑"/>
    <w:panose1 w:val="00000000000000000000"/>
    <w:charset w:val="00"/>
    <w:family w:val="auto"/>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right="360" w:firstLine="360"/>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rPr>
                              <w:rStyle w:val="16"/>
                              <w:rFonts w:ascii="宋体" w:hAnsi="宋体"/>
                              <w:sz w:val="28"/>
                              <w:szCs w:val="28"/>
                            </w:rPr>
                          </w:pPr>
                          <w:r>
                            <w:rPr>
                              <w:rStyle w:val="16"/>
                              <w:rFonts w:ascii="宋体" w:hAnsi="宋体"/>
                              <w:sz w:val="28"/>
                              <w:szCs w:val="28"/>
                            </w:rPr>
                            <w:t xml:space="preserve">— </w:t>
                          </w:r>
                          <w:r>
                            <w:rPr>
                              <w:rStyle w:val="16"/>
                              <w:rFonts w:ascii="宋体" w:hAnsi="宋体"/>
                              <w:sz w:val="28"/>
                              <w:szCs w:val="28"/>
                            </w:rPr>
                            <w:fldChar w:fldCharType="begin"/>
                          </w:r>
                          <w:r>
                            <w:rPr>
                              <w:rStyle w:val="16"/>
                              <w:rFonts w:ascii="宋体" w:hAnsi="宋体"/>
                              <w:sz w:val="28"/>
                              <w:szCs w:val="28"/>
                            </w:rPr>
                            <w:instrText xml:space="preserve">PAGE  </w:instrText>
                          </w:r>
                          <w:r>
                            <w:rPr>
                              <w:rStyle w:val="16"/>
                              <w:rFonts w:ascii="宋体" w:hAnsi="宋体"/>
                              <w:sz w:val="28"/>
                              <w:szCs w:val="28"/>
                            </w:rPr>
                            <w:fldChar w:fldCharType="separate"/>
                          </w:r>
                          <w:r>
                            <w:rPr>
                              <w:rStyle w:val="16"/>
                              <w:rFonts w:ascii="宋体" w:hAnsi="宋体"/>
                              <w:sz w:val="28"/>
                              <w:szCs w:val="28"/>
                            </w:rPr>
                            <w:t>1</w:t>
                          </w:r>
                          <w:r>
                            <w:rPr>
                              <w:rStyle w:val="16"/>
                              <w:rFonts w:ascii="宋体" w:hAnsi="宋体"/>
                              <w:sz w:val="28"/>
                              <w:szCs w:val="28"/>
                            </w:rPr>
                            <w:fldChar w:fldCharType="end"/>
                          </w:r>
                          <w:r>
                            <w:rPr>
                              <w:rStyle w:val="16"/>
                              <w:rFonts w:ascii="宋体" w:hAnsi="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8"/>
                      <w:rPr>
                        <w:rStyle w:val="16"/>
                        <w:rFonts w:ascii="宋体" w:hAnsi="宋体"/>
                        <w:sz w:val="28"/>
                        <w:szCs w:val="28"/>
                      </w:rPr>
                    </w:pPr>
                    <w:r>
                      <w:rPr>
                        <w:rStyle w:val="16"/>
                        <w:rFonts w:ascii="宋体" w:hAnsi="宋体"/>
                        <w:sz w:val="28"/>
                        <w:szCs w:val="28"/>
                      </w:rPr>
                      <w:t xml:space="preserve">— </w:t>
                    </w:r>
                    <w:r>
                      <w:rPr>
                        <w:rStyle w:val="16"/>
                        <w:rFonts w:ascii="宋体" w:hAnsi="宋体"/>
                        <w:sz w:val="28"/>
                        <w:szCs w:val="28"/>
                      </w:rPr>
                      <w:fldChar w:fldCharType="begin"/>
                    </w:r>
                    <w:r>
                      <w:rPr>
                        <w:rStyle w:val="16"/>
                        <w:rFonts w:ascii="宋体" w:hAnsi="宋体"/>
                        <w:sz w:val="28"/>
                        <w:szCs w:val="28"/>
                      </w:rPr>
                      <w:instrText xml:space="preserve">PAGE  </w:instrText>
                    </w:r>
                    <w:r>
                      <w:rPr>
                        <w:rStyle w:val="16"/>
                        <w:rFonts w:ascii="宋体" w:hAnsi="宋体"/>
                        <w:sz w:val="28"/>
                        <w:szCs w:val="28"/>
                      </w:rPr>
                      <w:fldChar w:fldCharType="separate"/>
                    </w:r>
                    <w:r>
                      <w:rPr>
                        <w:rStyle w:val="16"/>
                        <w:rFonts w:ascii="宋体" w:hAnsi="宋体"/>
                        <w:sz w:val="28"/>
                        <w:szCs w:val="28"/>
                      </w:rPr>
                      <w:t>1</w:t>
                    </w:r>
                    <w:r>
                      <w:rPr>
                        <w:rStyle w:val="16"/>
                        <w:rFonts w:ascii="宋体" w:hAnsi="宋体"/>
                        <w:sz w:val="28"/>
                        <w:szCs w:val="28"/>
                      </w:rPr>
                      <w:fldChar w:fldCharType="end"/>
                    </w:r>
                    <w:r>
                      <w:rPr>
                        <w:rStyle w:val="16"/>
                        <w:rFonts w:ascii="宋体" w:hAnsi="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5D5D"/>
    <w:rsid w:val="000B1E40"/>
    <w:rsid w:val="000B4F75"/>
    <w:rsid w:val="000C0F23"/>
    <w:rsid w:val="000D27E0"/>
    <w:rsid w:val="00100B32"/>
    <w:rsid w:val="00116152"/>
    <w:rsid w:val="0013370B"/>
    <w:rsid w:val="001654F1"/>
    <w:rsid w:val="0017627F"/>
    <w:rsid w:val="001937B8"/>
    <w:rsid w:val="00197F2A"/>
    <w:rsid w:val="001E7526"/>
    <w:rsid w:val="002018AF"/>
    <w:rsid w:val="00247427"/>
    <w:rsid w:val="00275817"/>
    <w:rsid w:val="00293AED"/>
    <w:rsid w:val="002A68F3"/>
    <w:rsid w:val="00316D9B"/>
    <w:rsid w:val="00331A54"/>
    <w:rsid w:val="003561E0"/>
    <w:rsid w:val="00395125"/>
    <w:rsid w:val="003C656E"/>
    <w:rsid w:val="00404F52"/>
    <w:rsid w:val="00426096"/>
    <w:rsid w:val="0042648A"/>
    <w:rsid w:val="0046042E"/>
    <w:rsid w:val="00487A9E"/>
    <w:rsid w:val="004B297E"/>
    <w:rsid w:val="004E68D1"/>
    <w:rsid w:val="005124E6"/>
    <w:rsid w:val="005434AB"/>
    <w:rsid w:val="005538C7"/>
    <w:rsid w:val="00556994"/>
    <w:rsid w:val="005653F2"/>
    <w:rsid w:val="0058128F"/>
    <w:rsid w:val="0059542B"/>
    <w:rsid w:val="0059785A"/>
    <w:rsid w:val="005A709C"/>
    <w:rsid w:val="005B3709"/>
    <w:rsid w:val="005D0C7C"/>
    <w:rsid w:val="005F1A58"/>
    <w:rsid w:val="00607A65"/>
    <w:rsid w:val="00617F9A"/>
    <w:rsid w:val="006277B7"/>
    <w:rsid w:val="006350E6"/>
    <w:rsid w:val="00655D5D"/>
    <w:rsid w:val="006A3C69"/>
    <w:rsid w:val="006D0B32"/>
    <w:rsid w:val="006E7700"/>
    <w:rsid w:val="00724486"/>
    <w:rsid w:val="007438C4"/>
    <w:rsid w:val="0079369F"/>
    <w:rsid w:val="007B2BD7"/>
    <w:rsid w:val="007B78BE"/>
    <w:rsid w:val="007C5F6D"/>
    <w:rsid w:val="007E2410"/>
    <w:rsid w:val="007F2A22"/>
    <w:rsid w:val="00823681"/>
    <w:rsid w:val="00834C05"/>
    <w:rsid w:val="0086518F"/>
    <w:rsid w:val="00865DA5"/>
    <w:rsid w:val="0087266B"/>
    <w:rsid w:val="00935102"/>
    <w:rsid w:val="009446E1"/>
    <w:rsid w:val="009D5622"/>
    <w:rsid w:val="00A37919"/>
    <w:rsid w:val="00A5571A"/>
    <w:rsid w:val="00A66DF4"/>
    <w:rsid w:val="00A770B6"/>
    <w:rsid w:val="00A9189B"/>
    <w:rsid w:val="00BC0770"/>
    <w:rsid w:val="00BC5D32"/>
    <w:rsid w:val="00C07F85"/>
    <w:rsid w:val="00C12C64"/>
    <w:rsid w:val="00C20382"/>
    <w:rsid w:val="00C21A5E"/>
    <w:rsid w:val="00C75055"/>
    <w:rsid w:val="00CB0520"/>
    <w:rsid w:val="00CB36C7"/>
    <w:rsid w:val="00CD6AD1"/>
    <w:rsid w:val="00CF070D"/>
    <w:rsid w:val="00D04B4D"/>
    <w:rsid w:val="00D245B9"/>
    <w:rsid w:val="00D4268B"/>
    <w:rsid w:val="00D43760"/>
    <w:rsid w:val="00D62272"/>
    <w:rsid w:val="00D63420"/>
    <w:rsid w:val="00D91902"/>
    <w:rsid w:val="00DE4CB4"/>
    <w:rsid w:val="00E007A6"/>
    <w:rsid w:val="00E01E7D"/>
    <w:rsid w:val="00E40611"/>
    <w:rsid w:val="00E62828"/>
    <w:rsid w:val="00E646E7"/>
    <w:rsid w:val="00E847B7"/>
    <w:rsid w:val="00E86484"/>
    <w:rsid w:val="00EA3755"/>
    <w:rsid w:val="00EC7DFC"/>
    <w:rsid w:val="00F0246D"/>
    <w:rsid w:val="00F06071"/>
    <w:rsid w:val="00F37487"/>
    <w:rsid w:val="00F61F08"/>
    <w:rsid w:val="00F62E59"/>
    <w:rsid w:val="00F65395"/>
    <w:rsid w:val="00F92BA9"/>
    <w:rsid w:val="00F93AEF"/>
    <w:rsid w:val="00FC20C5"/>
    <w:rsid w:val="00FE76B2"/>
    <w:rsid w:val="011D5517"/>
    <w:rsid w:val="015A00DC"/>
    <w:rsid w:val="04C36A7B"/>
    <w:rsid w:val="073B6053"/>
    <w:rsid w:val="07B06138"/>
    <w:rsid w:val="1039766E"/>
    <w:rsid w:val="10C64DA9"/>
    <w:rsid w:val="110B5A55"/>
    <w:rsid w:val="11A04CF5"/>
    <w:rsid w:val="13D13E04"/>
    <w:rsid w:val="147802B5"/>
    <w:rsid w:val="14D30442"/>
    <w:rsid w:val="158C4711"/>
    <w:rsid w:val="18405DF6"/>
    <w:rsid w:val="19FA2596"/>
    <w:rsid w:val="1AF22336"/>
    <w:rsid w:val="1C0A16D8"/>
    <w:rsid w:val="1CBC653D"/>
    <w:rsid w:val="1EAE3BD9"/>
    <w:rsid w:val="1F507276"/>
    <w:rsid w:val="1FF25383"/>
    <w:rsid w:val="1FF7702B"/>
    <w:rsid w:val="25E76661"/>
    <w:rsid w:val="26D20F30"/>
    <w:rsid w:val="26E1123C"/>
    <w:rsid w:val="2AFC2531"/>
    <w:rsid w:val="2C6415B1"/>
    <w:rsid w:val="2CEA7CBB"/>
    <w:rsid w:val="2D0276A4"/>
    <w:rsid w:val="31862801"/>
    <w:rsid w:val="320C42FD"/>
    <w:rsid w:val="3A6C66D6"/>
    <w:rsid w:val="3AB538B6"/>
    <w:rsid w:val="3C262674"/>
    <w:rsid w:val="3F715015"/>
    <w:rsid w:val="45693211"/>
    <w:rsid w:val="46CA7991"/>
    <w:rsid w:val="46E1310A"/>
    <w:rsid w:val="46F16190"/>
    <w:rsid w:val="473522FA"/>
    <w:rsid w:val="48770BB5"/>
    <w:rsid w:val="4AB75DE0"/>
    <w:rsid w:val="4B1D1637"/>
    <w:rsid w:val="4DA005C9"/>
    <w:rsid w:val="4E7A3169"/>
    <w:rsid w:val="51586A2B"/>
    <w:rsid w:val="52D721B3"/>
    <w:rsid w:val="553A4141"/>
    <w:rsid w:val="566F44DF"/>
    <w:rsid w:val="568871F4"/>
    <w:rsid w:val="57BB7949"/>
    <w:rsid w:val="593D01F6"/>
    <w:rsid w:val="5BF9396B"/>
    <w:rsid w:val="5DB06C47"/>
    <w:rsid w:val="5E595CBB"/>
    <w:rsid w:val="5E5B2F7B"/>
    <w:rsid w:val="5E5E65C7"/>
    <w:rsid w:val="625C231C"/>
    <w:rsid w:val="648F4BE3"/>
    <w:rsid w:val="64EE06A2"/>
    <w:rsid w:val="66200A39"/>
    <w:rsid w:val="6A9A5D9A"/>
    <w:rsid w:val="6B7157F4"/>
    <w:rsid w:val="6DA44EE6"/>
    <w:rsid w:val="6E6E58D4"/>
    <w:rsid w:val="70425941"/>
    <w:rsid w:val="731E536E"/>
    <w:rsid w:val="73B1756B"/>
    <w:rsid w:val="73B42ACD"/>
    <w:rsid w:val="74533E42"/>
    <w:rsid w:val="77F13702"/>
    <w:rsid w:val="79237199"/>
    <w:rsid w:val="7B050731"/>
    <w:rsid w:val="7B184E8D"/>
    <w:rsid w:val="7F254FC2"/>
    <w:rsid w:val="7F2E2D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iPriority="99" w:semiHidden="0" w:name="Block Text"/>
    <w:lsdException w:qFormat="1"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99"/>
    <w:pPr>
      <w:keepNext/>
      <w:keepLines/>
      <w:spacing w:line="560" w:lineRule="exact"/>
      <w:jc w:val="center"/>
      <w:outlineLvl w:val="0"/>
    </w:pPr>
    <w:rPr>
      <w:rFonts w:eastAsia="方正小标宋简体"/>
      <w:kern w:val="44"/>
      <w:sz w:val="36"/>
      <w:szCs w:val="36"/>
    </w:rPr>
  </w:style>
  <w:style w:type="character" w:default="1" w:styleId="15">
    <w:name w:val="Default Paragraph Font"/>
    <w:semiHidden/>
    <w:qFormat/>
    <w:uiPriority w:val="0"/>
  </w:style>
  <w:style w:type="table" w:default="1" w:styleId="13">
    <w:name w:val="Normal Table"/>
    <w:semiHidden/>
    <w:qFormat/>
    <w:uiPriority w:val="0"/>
    <w:tblPr>
      <w:tblLayout w:type="fixed"/>
      <w:tblCellMar>
        <w:top w:w="0" w:type="dxa"/>
        <w:left w:w="108" w:type="dxa"/>
        <w:bottom w:w="0" w:type="dxa"/>
        <w:right w:w="108" w:type="dxa"/>
      </w:tblCellMar>
    </w:tblPr>
  </w:style>
  <w:style w:type="paragraph" w:styleId="2">
    <w:name w:val="Block Text"/>
    <w:basedOn w:val="1"/>
    <w:link w:val="22"/>
    <w:unhideWhenUsed/>
    <w:qFormat/>
    <w:uiPriority w:val="99"/>
    <w:pPr>
      <w:spacing w:after="120"/>
      <w:ind w:left="1440" w:leftChars="700" w:right="1440" w:rightChars="700"/>
    </w:pPr>
  </w:style>
  <w:style w:type="paragraph" w:styleId="4">
    <w:name w:val="Body Text Indent"/>
    <w:basedOn w:val="1"/>
    <w:unhideWhenUsed/>
    <w:qFormat/>
    <w:uiPriority w:val="99"/>
    <w:pPr>
      <w:spacing w:before="100" w:beforeAutospacing="1" w:after="120"/>
      <w:ind w:left="420" w:leftChars="200"/>
    </w:pPr>
    <w:rPr>
      <w:rFonts w:ascii="宋体" w:hAnsi="宋体" w:eastAsia="宋体" w:cs="宋体"/>
      <w:szCs w:val="21"/>
    </w:rPr>
  </w:style>
  <w:style w:type="paragraph" w:styleId="5">
    <w:name w:val="Plain Text"/>
    <w:basedOn w:val="1"/>
    <w:qFormat/>
    <w:uiPriority w:val="0"/>
    <w:rPr>
      <w:rFonts w:ascii="宋体" w:hAnsi="Courier New"/>
    </w:rPr>
  </w:style>
  <w:style w:type="paragraph" w:styleId="6">
    <w:name w:val="Date"/>
    <w:basedOn w:val="1"/>
    <w:next w:val="1"/>
    <w:qFormat/>
    <w:uiPriority w:val="0"/>
    <w:pPr>
      <w:ind w:left="100" w:leftChars="2500"/>
    </w:pPr>
  </w:style>
  <w:style w:type="paragraph" w:styleId="7">
    <w:name w:val="Balloon Text"/>
    <w:basedOn w:val="1"/>
    <w:semiHidden/>
    <w:qFormat/>
    <w:uiPriority w:val="0"/>
    <w:rPr>
      <w:sz w:val="18"/>
      <w:szCs w:val="18"/>
    </w:rPr>
  </w:style>
  <w:style w:type="paragraph" w:styleId="8">
    <w:name w:val="footer"/>
    <w:basedOn w:val="1"/>
    <w:link w:val="18"/>
    <w:qFormat/>
    <w:uiPriority w:val="0"/>
    <w:pPr>
      <w:tabs>
        <w:tab w:val="center" w:pos="4153"/>
        <w:tab w:val="right" w:pos="8306"/>
      </w:tabs>
      <w:snapToGrid w:val="0"/>
      <w:jc w:val="left"/>
    </w:pPr>
    <w:rPr>
      <w:sz w:val="18"/>
      <w:szCs w:val="18"/>
    </w:rPr>
  </w:style>
  <w:style w:type="paragraph" w:styleId="9">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0">
    <w:name w:val="Normal (Web)"/>
    <w:basedOn w:val="1"/>
    <w:qFormat/>
    <w:uiPriority w:val="0"/>
    <w:pPr>
      <w:spacing w:before="100" w:beforeAutospacing="1" w:after="100" w:afterAutospacing="1"/>
      <w:jc w:val="left"/>
    </w:pPr>
    <w:rPr>
      <w:kern w:val="0"/>
      <w:sz w:val="24"/>
    </w:rPr>
  </w:style>
  <w:style w:type="paragraph" w:styleId="11">
    <w:name w:val="Title"/>
    <w:basedOn w:val="1"/>
    <w:next w:val="1"/>
    <w:qFormat/>
    <w:uiPriority w:val="0"/>
    <w:pPr>
      <w:spacing w:before="240" w:after="60" w:line="640" w:lineRule="exact"/>
      <w:jc w:val="center"/>
      <w:outlineLvl w:val="0"/>
    </w:pPr>
    <w:rPr>
      <w:rFonts w:ascii="Cambria" w:hAnsi="Cambria" w:eastAsia="方正小标宋简体"/>
      <w:sz w:val="44"/>
      <w:szCs w:val="44"/>
    </w:rPr>
  </w:style>
  <w:style w:type="paragraph" w:styleId="12">
    <w:name w:val="Body Text First Indent 2"/>
    <w:basedOn w:val="4"/>
    <w:next w:val="1"/>
    <w:qFormat/>
    <w:uiPriority w:val="0"/>
    <w:pPr>
      <w:widowControl w:val="0"/>
      <w:spacing w:after="120"/>
      <w:ind w:left="200" w:leftChars="200" w:firstLine="200" w:firstLineChars="200"/>
      <w:jc w:val="both"/>
    </w:pPr>
    <w:rPr>
      <w:rFonts w:eastAsia="宋体" w:cs="Arial"/>
      <w:kern w:val="2"/>
      <w:sz w:val="21"/>
      <w:szCs w:val="24"/>
      <w:lang w:val="en-US" w:eastAsia="zh-CN" w:bidi="ar-SA"/>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styleId="16">
    <w:name w:val="page number"/>
    <w:basedOn w:val="15"/>
    <w:qFormat/>
    <w:uiPriority w:val="0"/>
  </w:style>
  <w:style w:type="character" w:styleId="17">
    <w:name w:val="Hyperlink"/>
    <w:basedOn w:val="15"/>
    <w:unhideWhenUsed/>
    <w:qFormat/>
    <w:uiPriority w:val="0"/>
    <w:rPr>
      <w:color w:val="0000FF"/>
      <w:u w:val="single"/>
    </w:rPr>
  </w:style>
  <w:style w:type="character" w:customStyle="1" w:styleId="18">
    <w:name w:val="页脚 Char"/>
    <w:basedOn w:val="15"/>
    <w:link w:val="8"/>
    <w:semiHidden/>
    <w:qFormat/>
    <w:locked/>
    <w:uiPriority w:val="0"/>
    <w:rPr>
      <w:rFonts w:eastAsia="宋体"/>
      <w:kern w:val="2"/>
      <w:sz w:val="18"/>
      <w:szCs w:val="18"/>
      <w:lang w:val="en-US" w:eastAsia="zh-CN" w:bidi="ar-SA"/>
    </w:rPr>
  </w:style>
  <w:style w:type="character" w:customStyle="1" w:styleId="19">
    <w:name w:val=" Char Char"/>
    <w:basedOn w:val="15"/>
    <w:qFormat/>
    <w:uiPriority w:val="0"/>
    <w:rPr>
      <w:kern w:val="2"/>
      <w:sz w:val="18"/>
    </w:rPr>
  </w:style>
  <w:style w:type="character" w:customStyle="1" w:styleId="20">
    <w:name w:val="font11"/>
    <w:basedOn w:val="15"/>
    <w:qFormat/>
    <w:uiPriority w:val="0"/>
    <w:rPr>
      <w:rFonts w:hint="eastAsia" w:ascii="宋体" w:hAnsi="宋体" w:eastAsia="宋体" w:cs="宋体"/>
      <w:color w:val="000000"/>
      <w:sz w:val="24"/>
      <w:szCs w:val="24"/>
      <w:u w:val="none"/>
    </w:rPr>
  </w:style>
  <w:style w:type="character" w:customStyle="1" w:styleId="21">
    <w:name w:val="NormalCharacter"/>
    <w:qFormat/>
    <w:uiPriority w:val="0"/>
    <w:rPr>
      <w:rFonts w:ascii="Calibri" w:hAnsi="Calibri" w:eastAsia="宋体" w:cs="Times New Roman"/>
      <w:kern w:val="2"/>
      <w:sz w:val="21"/>
      <w:szCs w:val="24"/>
      <w:lang w:val="en-US" w:eastAsia="zh-CN" w:bidi="ar-SA"/>
    </w:rPr>
  </w:style>
  <w:style w:type="character" w:customStyle="1" w:styleId="22">
    <w:name w:val="文本块 Char"/>
    <w:link w:val="2"/>
    <w:qFormat/>
    <w:uiPriority w:val="99"/>
  </w:style>
  <w:style w:type="paragraph" w:customStyle="1" w:styleId="23">
    <w:name w:val="p0"/>
    <w:basedOn w:val="1"/>
    <w:qFormat/>
    <w:uiPriority w:val="0"/>
    <w:pPr>
      <w:widowControl/>
      <w:spacing w:before="100" w:beforeAutospacing="1" w:after="100" w:afterAutospacing="1"/>
      <w:jc w:val="left"/>
    </w:pPr>
    <w:rPr>
      <w:rFonts w:ascii="宋体" w:hAnsi="宋体" w:eastAsia="宋体" w:cs="宋体"/>
      <w:kern w:val="0"/>
      <w:sz w:val="24"/>
    </w:rPr>
  </w:style>
  <w:style w:type="character" w:customStyle="1" w:styleId="24">
    <w:name w:val="16"/>
    <w:basedOn w:val="15"/>
    <w:qFormat/>
    <w:uiPriority w:val="0"/>
    <w:rPr>
      <w:rFonts w:hint="default" w:ascii="DengXian-Light" w:hAnsi="DengXian-Light"/>
      <w:color w:val="000000"/>
      <w:sz w:val="28"/>
      <w:szCs w:val="28"/>
    </w:rPr>
  </w:style>
  <w:style w:type="character" w:customStyle="1" w:styleId="25">
    <w:name w:val="fontstyle01"/>
    <w:basedOn w:val="15"/>
    <w:qFormat/>
    <w:uiPriority w:val="0"/>
    <w:rPr>
      <w:rFonts w:hint="default" w:ascii="仿宋" w:hAnsi="仿宋"/>
      <w:color w:val="000000"/>
      <w:sz w:val="34"/>
      <w:szCs w:val="34"/>
    </w:rPr>
  </w:style>
  <w:style w:type="character" w:customStyle="1" w:styleId="26">
    <w:name w:val="font01"/>
    <w:basedOn w:val="15"/>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9</Pages>
  <Words>3808</Words>
  <Characters>3900</Characters>
  <Lines>24</Lines>
  <Paragraphs>6</Paragraphs>
  <TotalTime>28</TotalTime>
  <ScaleCrop>false</ScaleCrop>
  <LinksUpToDate>false</LinksUpToDate>
  <CharactersWithSpaces>3968</CharactersWithSpaces>
  <Application>WPS Office_11.1.0.8696_F1E327BC-269C-435d-A152-05C5408002CA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2022-03-15T01:57:00Z</dcterms:created>
  <dc:creator>微软用户</dc:creator>
  <cp:lastModifiedBy>Administrator</cp:lastModifiedBy>
  <cp:lastPrinted>2022-07-05T09:00:38Z</cp:lastPrinted>
  <dcterms:modified xsi:type="dcterms:W3CDTF">2022-07-05T09:01:14Z</dcterms:modified>
  <dc:title>关于申请拨付死亡一次性抚恤金等费用的报告</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2052-11.1.0.8696</vt:lpwstr>
  </property>
  <property fmtid="{D5CDD505-2E9C-101B-9397-08002B2CF9AE}" pid="3" name="ICV">
    <vt:lpwstr>E9660356679E472CA9D41C89CDF0EB61</vt:lpwstr>
  </property>
</Properties>
</file>