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黑体" w:hAnsi="黑体" w:eastAsia="黑体" w:cs="黑体"/>
          <w:i w:val="0"/>
          <w:iCs w:val="0"/>
          <w:caps w:val="0"/>
          <w:color w:val="555555"/>
          <w:spacing w:val="0"/>
          <w:kern w:val="0"/>
          <w:sz w:val="32"/>
          <w:szCs w:val="32"/>
          <w:shd w:val="clear" w:fill="FFFFFF"/>
          <w:lang w:val="en-US" w:eastAsia="zh-CN" w:bidi="ar"/>
        </w:rPr>
      </w:pPr>
      <w:bookmarkStart w:id="0" w:name="_GoBack"/>
      <w:bookmarkEnd w:id="0"/>
      <w:r>
        <w:rPr>
          <w:rFonts w:hint="eastAsia" w:ascii="黑体" w:hAnsi="黑体" w:eastAsia="黑体" w:cs="黑体"/>
          <w:i w:val="0"/>
          <w:iCs w:val="0"/>
          <w:caps w:val="0"/>
          <w:color w:val="555555"/>
          <w:spacing w:val="0"/>
          <w:kern w:val="0"/>
          <w:sz w:val="32"/>
          <w:szCs w:val="32"/>
          <w:shd w:val="clear" w:fill="FFFFFF"/>
          <w:lang w:val="en-US" w:eastAsia="zh-CN" w:bidi="ar"/>
        </w:rPr>
        <w:t>附件：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ascii="方正小标宋简体" w:hAnsi="方正小标宋简体" w:eastAsia="方正小标宋简体" w:cs="方正小标宋简体"/>
          <w:i w:val="0"/>
          <w:iCs w:val="0"/>
          <w:caps w:val="0"/>
          <w:color w:val="555555"/>
          <w:spacing w:val="0"/>
          <w:kern w:val="0"/>
          <w:sz w:val="44"/>
          <w:szCs w:val="44"/>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i w:val="0"/>
          <w:iCs w:val="0"/>
          <w:sz w:val="19"/>
          <w:szCs w:val="19"/>
        </w:rPr>
      </w:pPr>
      <w:r>
        <w:rPr>
          <w:rFonts w:ascii="方正小标宋简体" w:hAnsi="方正小标宋简体" w:eastAsia="方正小标宋简体" w:cs="方正小标宋简体"/>
          <w:i w:val="0"/>
          <w:iCs w:val="0"/>
          <w:caps w:val="0"/>
          <w:color w:val="555555"/>
          <w:spacing w:val="0"/>
          <w:kern w:val="0"/>
          <w:sz w:val="44"/>
          <w:szCs w:val="44"/>
          <w:shd w:val="clear" w:fill="FFFFFF"/>
          <w:lang w:val="en-US" w:eastAsia="zh-CN" w:bidi="ar"/>
        </w:rPr>
        <w:t>龙岩市水利局审批的</w:t>
      </w:r>
      <w:r>
        <w:rPr>
          <w:rFonts w:hint="eastAsia" w:ascii="方正小标宋简体" w:hAnsi="方正小标宋简体" w:eastAsia="方正小标宋简体" w:cs="方正小标宋简体"/>
          <w:i w:val="0"/>
          <w:iCs w:val="0"/>
          <w:caps w:val="0"/>
          <w:color w:val="555555"/>
          <w:spacing w:val="0"/>
          <w:kern w:val="0"/>
          <w:sz w:val="44"/>
          <w:szCs w:val="44"/>
          <w:shd w:val="clear" w:fill="FFFFFF"/>
          <w:lang w:val="en-US" w:eastAsia="zh-CN" w:bidi="ar"/>
        </w:rPr>
        <w:t>规划和建设项目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i w:val="0"/>
          <w:iCs w:val="0"/>
          <w:sz w:val="19"/>
          <w:szCs w:val="19"/>
        </w:rPr>
      </w:pPr>
      <w:r>
        <w:rPr>
          <w:rFonts w:hint="eastAsia" w:ascii="方正小标宋简体" w:hAnsi="方正小标宋简体" w:eastAsia="方正小标宋简体" w:cs="方正小标宋简体"/>
          <w:i w:val="0"/>
          <w:iCs w:val="0"/>
          <w:caps w:val="0"/>
          <w:color w:val="555555"/>
          <w:spacing w:val="0"/>
          <w:kern w:val="0"/>
          <w:sz w:val="44"/>
          <w:szCs w:val="44"/>
          <w:shd w:val="clear" w:fill="FFFFFF"/>
          <w:lang w:val="en-US" w:eastAsia="zh-CN" w:bidi="ar"/>
        </w:rPr>
        <w:t>节水评价工作方案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ascii="仿宋_GB2312" w:hAnsi="Times New Roman" w:eastAsia="仿宋_GB2312" w:cs="仿宋_GB2312"/>
          <w:i w:val="0"/>
          <w:iCs w:val="0"/>
          <w:caps w:val="0"/>
          <w:color w:val="555555"/>
          <w:spacing w:val="0"/>
          <w:kern w:val="0"/>
          <w:sz w:val="32"/>
          <w:szCs w:val="32"/>
          <w:shd w:val="clear" w:fill="FFFFFF"/>
          <w:lang w:val="en-US" w:eastAsia="zh-CN" w:bidi="ar"/>
        </w:rPr>
        <w:t>为落实</w:t>
      </w: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节水优先、空间均衡、系统治理、两手发力</w:t>
      </w: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的治水方针，保证规划和建设项目科学合理取用水</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促进形成与水资源条件相适应的空间布局和产业结构，倒逼节约集约利用水资源，使节水成为水资源开发、利用、保护、配置、调度前提，现制定本工作方案。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ascii="黑体" w:hAnsi="宋体" w:eastAsia="黑体" w:cs="黑体"/>
          <w:i w:val="0"/>
          <w:iCs w:val="0"/>
          <w:caps w:val="0"/>
          <w:color w:val="555555"/>
          <w:spacing w:val="0"/>
          <w:kern w:val="0"/>
          <w:sz w:val="32"/>
          <w:szCs w:val="32"/>
          <w:shd w:val="clear" w:fill="FFFFFF"/>
          <w:lang w:val="en-US" w:eastAsia="zh-CN" w:bidi="ar"/>
        </w:rPr>
        <w:t>一、总体要求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在规划和建设项目前期工作中突出节水的优先地位</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强化规划制定、建设项目立项、取水许可中节水有关内容和要求</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严格控制用水总量</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合理确定规划和建设项目用水规模和结构</w:t>
      </w: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确保用水总量控制在流域水量分配方案、区域用水总量红线范围内</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推动提高用水效率</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对标国内同类</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先进地区</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用水水平</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，严格执行</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节水评价标准</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体系要求，</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促使规划和建设项目高效用水</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规范文本编制和严格审查把关</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充分论证各类用水的必要性、合理性、可行性</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提出客观公正的评价结论</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从严叫停节水评价不通过的规划和建设项目。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二、</w:t>
      </w:r>
      <w:r>
        <w:rPr>
          <w:rFonts w:hint="eastAsia" w:ascii="黑体" w:hAnsi="宋体" w:eastAsia="黑体" w:cs="黑体"/>
          <w:i w:val="0"/>
          <w:iCs w:val="0"/>
          <w:caps w:val="0"/>
          <w:color w:val="555555"/>
          <w:spacing w:val="0"/>
          <w:kern w:val="0"/>
          <w:sz w:val="32"/>
          <w:szCs w:val="32"/>
          <w:shd w:val="clear" w:fill="FFFFFF"/>
          <w:lang w:val="en-US" w:eastAsia="zh-CN" w:bidi="ar"/>
        </w:rPr>
        <w:t>评价范围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本方案适用于以下类型的规划和建设项目节水评价工作：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一</w:t>
      </w: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与取用水相关</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的</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水利规划。包括区域供水工程规划、引水调水规划、水库建设规划、灌区建设规划等。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二</w:t>
      </w: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与取用水相关的水利工程项目。包括蓄水工程、引水工程、提水工程、调水工程、地下水利用工程等。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三</w:t>
      </w: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需开展水资源论证的相关规划。包括城镇新区规划、工业园区规划、经济技术开发区规划、高耗水行业的专项规划、涉及取用水的相关产业发展规划等。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四</w:t>
      </w: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办理取水许可的非水利建设项目。包括直接从江河、湖泊、地下以及水库、渠道等取水</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并需要申请取水许可的非水利建设项目。</w:t>
      </w: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br w:type="textWrapping"/>
      </w: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    </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从城市公共管网等取水的高耗水建设项目</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可</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参照本方案开展节水评价。</w:t>
      </w: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br w:type="textWrapping"/>
      </w: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    </w:t>
      </w:r>
      <w:r>
        <w:rPr>
          <w:rFonts w:hint="eastAsia" w:ascii="黑体" w:hAnsi="宋体" w:eastAsia="黑体" w:cs="黑体"/>
          <w:i w:val="0"/>
          <w:iCs w:val="0"/>
          <w:caps w:val="0"/>
          <w:color w:val="555555"/>
          <w:spacing w:val="0"/>
          <w:kern w:val="0"/>
          <w:sz w:val="32"/>
          <w:szCs w:val="32"/>
          <w:shd w:val="clear" w:fill="FFFFFF"/>
          <w:lang w:val="en-US" w:eastAsia="zh-CN" w:bidi="ar"/>
        </w:rPr>
        <w:t>三、评价环节及结果运用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i w:val="0"/>
          <w:iCs w:val="0"/>
          <w:sz w:val="19"/>
          <w:szCs w:val="19"/>
        </w:rPr>
      </w:pPr>
      <w:r>
        <w:rPr>
          <w:rFonts w:ascii="楷体_GB2312" w:hAnsi="微软雅黑" w:eastAsia="楷体_GB2312" w:cs="楷体_GB2312"/>
          <w:b/>
          <w:bCs/>
          <w:i w:val="0"/>
          <w:iCs w:val="0"/>
          <w:caps w:val="0"/>
          <w:color w:val="555555"/>
          <w:spacing w:val="0"/>
          <w:kern w:val="0"/>
          <w:sz w:val="32"/>
          <w:szCs w:val="32"/>
          <w:shd w:val="clear" w:fill="FFFFFF"/>
          <w:lang w:val="en-US" w:eastAsia="zh-CN" w:bidi="ar"/>
        </w:rPr>
        <w:t>（一）</w:t>
      </w:r>
      <w:r>
        <w:rPr>
          <w:rFonts w:hint="eastAsia" w:ascii="楷体_GB2312" w:hAnsi="微软雅黑" w:eastAsia="楷体_GB2312" w:cs="楷体_GB2312"/>
          <w:b/>
          <w:bCs/>
          <w:i w:val="0"/>
          <w:iCs w:val="0"/>
          <w:caps w:val="0"/>
          <w:color w:val="555555"/>
          <w:spacing w:val="0"/>
          <w:kern w:val="0"/>
          <w:sz w:val="32"/>
          <w:szCs w:val="32"/>
          <w:shd w:val="clear" w:fill="FFFFFF"/>
          <w:lang w:val="en-US" w:eastAsia="zh-CN" w:bidi="ar"/>
        </w:rPr>
        <w:t>评价环节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1. 水利规划应在规划制定阶段开展节水评价，在规划报告中编写节水评价章节。重点分析现状供用水水平与节水潜力，供需水量预测成果及水资源配置方案的节水符合性、节水目标指标的合理性与先进性，节水措施的可行性与节水效果等，评价规划取用水的合理性与可行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2. 水利工程项目应在工程规划、项目立项阶段开展节水评价，在项目规划报告、项目建议书、项目可行性研究报告中编写节水评价章节。重点分析现状供用水水平与节水潜力,供需水量预测成果及水资源配置方案的节水符合性、节水措施的可行性与节水效果等，评价水利工程项目供水的必要性与取用水规模的合</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理性。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3. 需开展水资源论证的相关规划，应在水资源论证阶段开展节水评价，在水资源论证报告书中编写节水评价章节。重点分析现状供用水水平与节水潜力，供需水量预测成果及水资源配置方案的节水符合性、节水目标指标的合理性与先进性，节水措施的可行性与节水效果等，评价规划取用水的合理性与可行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4. 办理取水许可的非水利建设项目，应在取水许可阶段开展节水评价，在水资源论证报告书中将用水合理性分析等内容强化为节水评价章节。重点分析用水节水相关政策的符合性，节水工艺技术、循环用水水平、用水指标的先进性等，评价建设项目取</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用水的必要性和规模的合理性。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i w:val="0"/>
          <w:iCs w:val="0"/>
          <w:sz w:val="19"/>
          <w:szCs w:val="19"/>
        </w:rPr>
      </w:pPr>
      <w:r>
        <w:rPr>
          <w:rFonts w:hint="eastAsia" w:ascii="楷体_GB2312" w:hAnsi="微软雅黑" w:eastAsia="楷体_GB2312" w:cs="楷体_GB2312"/>
          <w:b/>
          <w:bCs/>
          <w:i w:val="0"/>
          <w:iCs w:val="0"/>
          <w:caps w:val="0"/>
          <w:color w:val="555555"/>
          <w:spacing w:val="0"/>
          <w:kern w:val="0"/>
          <w:sz w:val="32"/>
          <w:szCs w:val="32"/>
          <w:shd w:val="clear" w:fill="FFFFFF"/>
          <w:lang w:val="en-US" w:eastAsia="zh-CN" w:bidi="ar"/>
        </w:rPr>
        <w:t>（二）结果运用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水利规划节水评价未通过审查的</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不予审批</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水利工程项目节水评价未通过审查的</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不予通过项目规划、项目建议书、可行性研究报告审查</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需开展水资源论证的规划</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节水评价未通过审查的</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不予通过规划水资源论证报告书审查</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申请取水许可的非水利建设项目</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节水评价未通过审查的</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水资源论证报告不予通过技术审查。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四、职责分工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节水评价立足于提高对规划和建设项目的节水要求，不涉及新增</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审批</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事项</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，不改变原有审批主体。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一</w:t>
      </w: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市节约用水办公室负责统筹协调</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规划和建设项目节水评价</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工作及</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节水评价</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统计</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二</w:t>
      </w: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行政审批</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科（政策法规科）</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负责</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市水利局本级</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审批</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的规划和建设项目的节水评价</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三</w:t>
      </w: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业务</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科</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室负责</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由本科组织编制和审查的</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非行政审批类</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规划和建设项目的节水评价</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四</w:t>
      </w: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项目评审单位</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（专家组）负责相关规划和水利项目的节水技术审查，提出</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节水评价是否通过审查的明确意见，按规定时限向行政审批</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科（政策法规科）</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及有关</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科</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室提交评审意见。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五、保障措施</w:t>
      </w: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br w:type="textWrapping"/>
      </w:r>
      <w:r>
        <w:rPr>
          <w:rFonts w:hint="default" w:ascii="Times New Roman" w:hAnsi="Times New Roman" w:eastAsia="微软雅黑" w:cs="Times New Roman"/>
          <w:b/>
          <w:bCs/>
          <w:i w:val="0"/>
          <w:iCs w:val="0"/>
          <w:caps w:val="0"/>
          <w:color w:val="555555"/>
          <w:spacing w:val="0"/>
          <w:kern w:val="0"/>
          <w:sz w:val="32"/>
          <w:szCs w:val="32"/>
          <w:shd w:val="clear" w:fill="FFFFFF"/>
          <w:lang w:val="en-US" w:eastAsia="zh-CN" w:bidi="ar"/>
        </w:rPr>
        <w:t> </w:t>
      </w:r>
      <w:r>
        <w:rPr>
          <w:rFonts w:hint="eastAsia" w:ascii="仿宋_GB2312" w:hAnsi="微软雅黑" w:eastAsia="仿宋_GB2312" w:cs="仿宋_GB2312"/>
          <w:b/>
          <w:bCs/>
          <w:i w:val="0"/>
          <w:iCs w:val="0"/>
          <w:caps w:val="0"/>
          <w:color w:val="555555"/>
          <w:spacing w:val="0"/>
          <w:kern w:val="0"/>
          <w:sz w:val="32"/>
          <w:szCs w:val="32"/>
          <w:shd w:val="clear" w:fill="FFFFFF"/>
          <w:lang w:val="en-US" w:eastAsia="zh-CN" w:bidi="ar"/>
        </w:rPr>
        <w:t>   </w:t>
      </w:r>
      <w:r>
        <w:rPr>
          <w:rFonts w:hint="eastAsia" w:ascii="楷体_GB2312" w:hAnsi="微软雅黑" w:eastAsia="楷体_GB2312" w:cs="楷体_GB2312"/>
          <w:b/>
          <w:bCs/>
          <w:i w:val="0"/>
          <w:iCs w:val="0"/>
          <w:caps w:val="0"/>
          <w:color w:val="555555"/>
          <w:spacing w:val="0"/>
          <w:kern w:val="0"/>
          <w:sz w:val="32"/>
          <w:szCs w:val="32"/>
          <w:shd w:val="clear" w:fill="FFFFFF"/>
          <w:lang w:val="en-US" w:eastAsia="zh-CN" w:bidi="ar"/>
        </w:rPr>
        <w:t>(一)加强组织领导。</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各级水行政主管部门要高度重视节水评价工作，认真组织实施，明确工作要求，积极担当作为，切实把好规划和建设项目的节水评价关。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i w:val="0"/>
          <w:iCs w:val="0"/>
          <w:sz w:val="19"/>
          <w:szCs w:val="19"/>
        </w:rPr>
      </w:pPr>
      <w:r>
        <w:rPr>
          <w:rFonts w:hint="eastAsia" w:ascii="仿宋_GB2312" w:hAnsi="微软雅黑" w:eastAsia="仿宋_GB2312" w:cs="仿宋_GB2312"/>
          <w:b/>
          <w:bCs/>
          <w:i w:val="0"/>
          <w:iCs w:val="0"/>
          <w:caps w:val="0"/>
          <w:color w:val="555555"/>
          <w:spacing w:val="0"/>
          <w:kern w:val="0"/>
          <w:sz w:val="32"/>
          <w:szCs w:val="32"/>
          <w:shd w:val="clear" w:fill="FFFFFF"/>
          <w:lang w:val="en-US" w:eastAsia="zh-CN" w:bidi="ar"/>
        </w:rPr>
        <w:t>    </w:t>
      </w:r>
      <w:r>
        <w:rPr>
          <w:rFonts w:hint="eastAsia" w:ascii="楷体_GB2312" w:hAnsi="微软雅黑" w:eastAsia="楷体_GB2312" w:cs="楷体_GB2312"/>
          <w:b/>
          <w:bCs/>
          <w:i w:val="0"/>
          <w:iCs w:val="0"/>
          <w:caps w:val="0"/>
          <w:color w:val="555555"/>
          <w:spacing w:val="0"/>
          <w:kern w:val="0"/>
          <w:sz w:val="32"/>
          <w:szCs w:val="32"/>
          <w:shd w:val="clear" w:fill="FFFFFF"/>
          <w:lang w:val="en-US" w:eastAsia="zh-CN" w:bidi="ar"/>
        </w:rPr>
        <w:t>(二)落实主体责任。</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各级水行政主管部门要加强对节水评价工作的监督管理和检查评估，业主单位应提供全面真实的基础资料，编制单位应按照技术要求科学规范编写节水评价章节，审查单位应客观公正地提出审查意见。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i w:val="0"/>
          <w:iCs w:val="0"/>
          <w:sz w:val="19"/>
          <w:szCs w:val="19"/>
        </w:rPr>
      </w:pPr>
      <w:r>
        <w:rPr>
          <w:rFonts w:hint="eastAsia" w:ascii="楷体_GB2312" w:hAnsi="微软雅黑" w:eastAsia="楷体_GB2312" w:cs="楷体_GB2312"/>
          <w:b/>
          <w:bCs/>
          <w:i w:val="0"/>
          <w:iCs w:val="0"/>
          <w:caps w:val="0"/>
          <w:color w:val="555555"/>
          <w:spacing w:val="0"/>
          <w:kern w:val="0"/>
          <w:sz w:val="32"/>
          <w:szCs w:val="32"/>
          <w:shd w:val="clear" w:fill="FFFFFF"/>
          <w:lang w:val="en-US" w:eastAsia="zh-CN" w:bidi="ar"/>
        </w:rPr>
        <w:t>(三)夯实工作基础。</w:t>
      </w: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各级水行政主管部门要建立节水评价登记制度，建立工作台账，健全节水标准和取用水定额体系，强化取用水计量监测统计，深入开展节水评价宣传培训，加强节水评价人才队伍建设，为节水评价提供基础支撑。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附表1：规划和建设项目节水评价项目统计表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附表2：规划或水利工程项目节水评价章节编写提纲（参考）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i w:val="0"/>
          <w:iCs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附表3：</w:t>
      </w:r>
      <w:r>
        <w:rPr>
          <w:rFonts w:ascii="仿宋" w:hAnsi="仿宋" w:eastAsia="仿宋" w:cs="仿宋"/>
          <w:i w:val="0"/>
          <w:iCs w:val="0"/>
          <w:caps w:val="0"/>
          <w:color w:val="555555"/>
          <w:spacing w:val="0"/>
          <w:kern w:val="0"/>
          <w:sz w:val="32"/>
          <w:szCs w:val="32"/>
          <w:shd w:val="clear" w:fill="FFFFFF"/>
          <w:lang w:val="en-US" w:eastAsia="zh-CN" w:bidi="ar"/>
        </w:rPr>
        <w:t>非水利建设项目节水评价章节编写提纲（参考）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i w:val="0"/>
          <w:iCs w:val="0"/>
          <w:sz w:val="19"/>
          <w:szCs w:val="19"/>
        </w:rPr>
      </w:pPr>
      <w:r>
        <w:rPr>
          <w:rFonts w:ascii="Calibri" w:hAnsi="Calibri" w:eastAsia="微软雅黑" w:cs="Calibri"/>
          <w:i w:val="0"/>
          <w:iCs w:val="0"/>
          <w:caps w:val="0"/>
          <w:color w:val="555555"/>
          <w:spacing w:val="0"/>
          <w:sz w:val="18"/>
          <w:szCs w:val="18"/>
          <w:shd w:val="clear" w:fill="FFFFFF"/>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i w:val="0"/>
          <w:iCs w:val="0"/>
          <w:sz w:val="19"/>
          <w:szCs w:val="19"/>
        </w:rPr>
      </w:pPr>
      <w:r>
        <w:rPr>
          <w:rFonts w:hint="default" w:ascii="Times New Roman" w:hAnsi="Times New Roman" w:eastAsia="微软雅黑" w:cs="Times New Roman"/>
          <w:i w:val="0"/>
          <w:iCs w:val="0"/>
          <w:caps w:val="0"/>
          <w:color w:val="555555"/>
          <w:spacing w:val="0"/>
          <w:kern w:val="0"/>
          <w:sz w:val="32"/>
          <w:szCs w:val="32"/>
          <w:shd w:val="clear" w:fill="FFFFFF"/>
          <w:lang w:val="en-US" w:eastAsia="zh-CN" w:bidi="ar"/>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default" w:ascii="Times New Roman" w:hAnsi="Times New Roman" w:eastAsia="微软雅黑" w:cs="Times New Roman"/>
          <w:i w:val="0"/>
          <w:iCs w:val="0"/>
          <w:caps w:val="0"/>
          <w:color w:val="555555"/>
          <w:spacing w:val="0"/>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default" w:ascii="Times New Roman" w:hAnsi="Times New Roman" w:eastAsia="微软雅黑" w:cs="Times New Roman"/>
          <w:i w:val="0"/>
          <w:iCs w:val="0"/>
          <w:caps w:val="0"/>
          <w:color w:val="555555"/>
          <w:spacing w:val="0"/>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default" w:ascii="Times New Roman" w:hAnsi="Times New Roman" w:eastAsia="微软雅黑" w:cs="Times New Roman"/>
          <w:i w:val="0"/>
          <w:iCs w:val="0"/>
          <w:caps w:val="0"/>
          <w:color w:val="555555"/>
          <w:spacing w:val="0"/>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default" w:ascii="Times New Roman" w:hAnsi="Times New Roman" w:eastAsia="微软雅黑" w:cs="Times New Roman"/>
          <w:i w:val="0"/>
          <w:iCs w:val="0"/>
          <w:caps w:val="0"/>
          <w:color w:val="555555"/>
          <w:spacing w:val="0"/>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default" w:ascii="Times New Roman" w:hAnsi="Times New Roman" w:eastAsia="微软雅黑" w:cs="Times New Roman"/>
          <w:i w:val="0"/>
          <w:iCs w:val="0"/>
          <w:caps w:val="0"/>
          <w:color w:val="555555"/>
          <w:spacing w:val="0"/>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default" w:ascii="Times New Roman" w:hAnsi="Times New Roman" w:eastAsia="微软雅黑" w:cs="Times New Roman"/>
          <w:i w:val="0"/>
          <w:iCs w:val="0"/>
          <w:caps w:val="0"/>
          <w:color w:val="555555"/>
          <w:spacing w:val="0"/>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default" w:ascii="Times New Roman" w:hAnsi="Times New Roman" w:eastAsia="微软雅黑" w:cs="Times New Roman"/>
          <w:i w:val="0"/>
          <w:iCs w:val="0"/>
          <w:caps w:val="0"/>
          <w:color w:val="555555"/>
          <w:spacing w:val="0"/>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i w:val="0"/>
          <w:iCs w:val="0"/>
          <w:sz w:val="19"/>
          <w:szCs w:val="19"/>
        </w:rPr>
      </w:pPr>
      <w:r>
        <w:rPr>
          <w:rFonts w:hint="default" w:ascii="Times New Roman" w:hAnsi="Times New Roman" w:eastAsia="微软雅黑" w:cs="Times New Roman"/>
          <w:i w:val="0"/>
          <w:iCs w:val="0"/>
          <w:caps w:val="0"/>
          <w:color w:val="555555"/>
          <w:spacing w:val="0"/>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i w:val="0"/>
          <w:iCs w:val="0"/>
          <w:sz w:val="19"/>
          <w:szCs w:val="19"/>
        </w:rPr>
      </w:pPr>
      <w:r>
        <w:rPr>
          <w:rFonts w:hint="default" w:ascii="Times New Roman" w:hAnsi="Times New Roman" w:eastAsia="微软雅黑" w:cs="Times New Roman"/>
          <w:i w:val="0"/>
          <w:iCs w:val="0"/>
          <w:caps w:val="0"/>
          <w:color w:val="555555"/>
          <w:spacing w:val="0"/>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i w:val="0"/>
          <w:iCs w:val="0"/>
          <w:sz w:val="19"/>
          <w:szCs w:val="19"/>
        </w:rPr>
      </w:pPr>
      <w:r>
        <w:rPr>
          <w:rFonts w:hint="default" w:ascii="Times New Roman" w:hAnsi="Times New Roman" w:eastAsia="微软雅黑" w:cs="Times New Roman"/>
          <w:i w:val="0"/>
          <w:iCs w:val="0"/>
          <w:caps w:val="0"/>
          <w:color w:val="555555"/>
          <w:spacing w:val="0"/>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i w:val="0"/>
          <w:iCs w:val="0"/>
          <w:sz w:val="19"/>
          <w:szCs w:val="19"/>
        </w:rPr>
      </w:pPr>
      <w:r>
        <w:rPr>
          <w:rFonts w:hint="default" w:ascii="Times New Roman" w:hAnsi="Times New Roman" w:eastAsia="微软雅黑" w:cs="Times New Roman"/>
          <w:i w:val="0"/>
          <w:iCs w:val="0"/>
          <w:caps w:val="0"/>
          <w:color w:val="555555"/>
          <w:spacing w:val="0"/>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i w:val="0"/>
          <w:iCs w:val="0"/>
          <w:sz w:val="19"/>
          <w:szCs w:val="19"/>
        </w:rPr>
      </w:pPr>
      <w:r>
        <w:rPr>
          <w:rFonts w:hint="default" w:ascii="Times New Roman" w:hAnsi="Times New Roman" w:eastAsia="微软雅黑" w:cs="Times New Roman"/>
          <w:i w:val="0"/>
          <w:iCs w:val="0"/>
          <w:caps w:val="0"/>
          <w:color w:val="555555"/>
          <w:spacing w:val="0"/>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i w:val="0"/>
          <w:iCs w:val="0"/>
          <w:sz w:val="19"/>
          <w:szCs w:val="19"/>
        </w:rPr>
      </w:pPr>
      <w:r>
        <w:rPr>
          <w:rFonts w:hint="default" w:ascii="Times New Roman" w:hAnsi="Times New Roman" w:eastAsia="微软雅黑" w:cs="Times New Roman"/>
          <w:i w:val="0"/>
          <w:iCs w:val="0"/>
          <w:caps w:val="0"/>
          <w:color w:val="555555"/>
          <w:spacing w:val="0"/>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i w:val="0"/>
          <w:iCs w:val="0"/>
          <w:sz w:val="19"/>
          <w:szCs w:val="19"/>
        </w:rPr>
      </w:pPr>
      <w:r>
        <w:rPr>
          <w:rFonts w:hint="default" w:ascii="Times New Roman" w:hAnsi="Times New Roman" w:eastAsia="微软雅黑" w:cs="Times New Roman"/>
          <w:i w:val="0"/>
          <w:iCs w:val="0"/>
          <w:caps w:val="0"/>
          <w:color w:val="555555"/>
          <w:spacing w:val="0"/>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i w:val="0"/>
          <w:iCs w:val="0"/>
          <w:sz w:val="19"/>
          <w:szCs w:val="19"/>
        </w:rPr>
      </w:pPr>
      <w:r>
        <w:rPr>
          <w:rFonts w:hint="default" w:ascii="Times New Roman" w:hAnsi="Times New Roman" w:eastAsia="微软雅黑" w:cs="Times New Roman"/>
          <w:i w:val="0"/>
          <w:iCs w:val="0"/>
          <w:caps w:val="0"/>
          <w:color w:val="555555"/>
          <w:spacing w:val="0"/>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default" w:ascii="Times New Roman" w:hAnsi="Times New Roman" w:eastAsia="微软雅黑" w:cs="Times New Roman"/>
          <w:i w:val="0"/>
          <w:iCs w:val="0"/>
          <w:caps w:val="0"/>
          <w:color w:val="555555"/>
          <w:spacing w:val="0"/>
          <w:sz w:val="32"/>
          <w:szCs w:val="32"/>
          <w:shd w:val="clear" w:fill="FFFFFF"/>
        </w:rPr>
        <w:t> </w:t>
      </w:r>
    </w:p>
    <w:p>
      <w:pPr>
        <w:pStyle w:val="2"/>
        <w:keepNext w:val="0"/>
        <w:keepLines w:val="0"/>
        <w:pageBreakBefore w:val="0"/>
        <w:widowControl/>
        <w:suppressLineNumbers w:val="0"/>
        <w:pBdr>
          <w:top w:val="single" w:color="auto" w:sz="8" w:space="1"/>
          <w:left w:val="none" w:color="auto" w:sz="0" w:space="0"/>
          <w:bottom w:val="single" w:color="auto" w:sz="8" w:space="1"/>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i w:val="0"/>
          <w:iCs w:val="0"/>
          <w:sz w:val="19"/>
          <w:szCs w:val="19"/>
        </w:rPr>
      </w:pPr>
      <w:r>
        <w:rPr>
          <w:rFonts w:hint="eastAsia" w:ascii="仿宋_GB2312" w:hAnsi="微软雅黑" w:eastAsia="仿宋_GB2312" w:cs="仿宋_GB2312"/>
          <w:i w:val="0"/>
          <w:iCs w:val="0"/>
          <w:caps w:val="0"/>
          <w:color w:val="555555"/>
          <w:spacing w:val="0"/>
          <w:sz w:val="28"/>
          <w:szCs w:val="28"/>
          <w:shd w:val="clear" w:fill="FFFFFF"/>
        </w:rPr>
        <w:t>  抄送：福建省节约用水办公室。</w:t>
      </w:r>
    </w:p>
    <w:p>
      <w:pPr>
        <w:pStyle w:val="2"/>
        <w:keepNext w:val="0"/>
        <w:keepLines w:val="0"/>
        <w:pageBreakBefore w:val="0"/>
        <w:widowControl/>
        <w:suppressLineNumbers w:val="0"/>
        <w:pBdr>
          <w:top w:val="none" w:color="auto" w:sz="0" w:space="0"/>
          <w:left w:val="none" w:color="auto" w:sz="0" w:space="0"/>
          <w:bottom w:val="single" w:color="auto" w:sz="8" w:space="1"/>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黑体" w:hAnsi="宋体" w:eastAsia="黑体" w:cs="黑体"/>
          <w:i w:val="0"/>
          <w:iCs w:val="0"/>
          <w:caps w:val="0"/>
          <w:color w:val="555555"/>
          <w:spacing w:val="0"/>
          <w:kern w:val="0"/>
          <w:sz w:val="32"/>
          <w:szCs w:val="32"/>
          <w:shd w:val="clear" w:fill="FFFFFF"/>
          <w:lang w:val="en-US" w:eastAsia="zh-CN" w:bidi="ar"/>
        </w:rPr>
      </w:pPr>
      <w:r>
        <w:rPr>
          <w:rFonts w:hint="eastAsia" w:ascii="仿宋_GB2312" w:hAnsi="微软雅黑" w:eastAsia="仿宋_GB2312" w:cs="仿宋_GB2312"/>
          <w:i w:val="0"/>
          <w:iCs w:val="0"/>
          <w:caps w:val="0"/>
          <w:color w:val="555555"/>
          <w:spacing w:val="0"/>
          <w:sz w:val="28"/>
          <w:szCs w:val="28"/>
          <w:shd w:val="clear" w:fill="FFFFFF"/>
        </w:rPr>
        <w:t>  龙岩市水利局                          2019年10月21日印发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附表1：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i w:val="0"/>
          <w:iCs w:val="0"/>
          <w:sz w:val="19"/>
          <w:szCs w:val="19"/>
        </w:rPr>
      </w:pPr>
      <w:r>
        <w:rPr>
          <w:rFonts w:hint="eastAsia" w:ascii="方正小标宋简体" w:hAnsi="方正小标宋简体" w:eastAsia="方正小标宋简体" w:cs="方正小标宋简体"/>
          <w:i w:val="0"/>
          <w:iCs w:val="0"/>
          <w:caps w:val="0"/>
          <w:color w:val="555555"/>
          <w:spacing w:val="0"/>
          <w:kern w:val="0"/>
          <w:sz w:val="36"/>
          <w:szCs w:val="36"/>
          <w:shd w:val="clear" w:fill="FFFFFF"/>
          <w:lang w:val="en-US" w:eastAsia="zh-CN" w:bidi="ar"/>
        </w:rPr>
        <w:t>规划和建设项目节水评价项目统计表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方正小标宋简体" w:hAnsi="方正小标宋简体" w:eastAsia="方正小标宋简体" w:cs="方正小标宋简体"/>
          <w:i w:val="0"/>
          <w:iCs w:val="0"/>
          <w:caps w:val="0"/>
          <w:color w:val="555555"/>
          <w:spacing w:val="0"/>
          <w:sz w:val="36"/>
          <w:szCs w:val="36"/>
          <w:shd w:val="clear" w:fill="FFFFFF"/>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hAnsi="微软雅黑" w:eastAsia="仿宋_GB2312" w:cs="仿宋_GB2312"/>
          <w:b/>
          <w:bCs/>
          <w:i w:val="0"/>
          <w:iCs w:val="0"/>
          <w:caps w:val="0"/>
          <w:color w:val="555555"/>
          <w:spacing w:val="0"/>
          <w:kern w:val="0"/>
          <w:sz w:val="28"/>
          <w:szCs w:val="28"/>
          <w:shd w:val="clear" w:fill="FFFFFF"/>
          <w:lang w:val="en-US" w:eastAsia="zh-CN" w:bidi="ar"/>
        </w:rPr>
        <w:t>    填报单位（盖章）：</w:t>
      </w:r>
    </w:p>
    <w:tbl>
      <w:tblPr>
        <w:tblStyle w:val="4"/>
        <w:tblW w:w="10437"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757"/>
        <w:gridCol w:w="2513"/>
        <w:gridCol w:w="1861"/>
        <w:gridCol w:w="1934"/>
        <w:gridCol w:w="1692"/>
        <w:gridCol w:w="168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539" w:hRule="atLeast"/>
          <w:jc w:val="center"/>
        </w:trPr>
        <w:tc>
          <w:tcPr>
            <w:tcW w:w="757"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序号</w:t>
            </w:r>
          </w:p>
        </w:tc>
        <w:tc>
          <w:tcPr>
            <w:tcW w:w="2513" w:type="dxa"/>
            <w:tcBorders>
              <w:top w:val="single" w:color="auto" w:sz="8" w:space="0"/>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项目名称</w:t>
            </w:r>
          </w:p>
        </w:tc>
        <w:tc>
          <w:tcPr>
            <w:tcW w:w="1861" w:type="dxa"/>
            <w:tcBorders>
              <w:top w:val="single" w:color="auto" w:sz="8" w:space="0"/>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审核科室</w:t>
            </w:r>
          </w:p>
        </w:tc>
        <w:tc>
          <w:tcPr>
            <w:tcW w:w="1934" w:type="dxa"/>
            <w:tcBorders>
              <w:top w:val="single" w:color="auto" w:sz="8" w:space="0"/>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技术审查单位</w:t>
            </w:r>
          </w:p>
        </w:tc>
        <w:tc>
          <w:tcPr>
            <w:tcW w:w="1692" w:type="dxa"/>
            <w:tcBorders>
              <w:top w:val="single" w:color="auto" w:sz="8" w:space="0"/>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281"/>
              <w:jc w:val="center"/>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审查时间</w:t>
            </w:r>
          </w:p>
        </w:tc>
        <w:tc>
          <w:tcPr>
            <w:tcW w:w="1680" w:type="dxa"/>
            <w:tcBorders>
              <w:top w:val="single" w:color="auto" w:sz="8" w:space="0"/>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审查结论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39" w:hRule="atLeast"/>
          <w:jc w:val="center"/>
        </w:trPr>
        <w:tc>
          <w:tcPr>
            <w:tcW w:w="757"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2513"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1861"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1934"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1692"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1680"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39" w:hRule="atLeast"/>
          <w:jc w:val="center"/>
        </w:trPr>
        <w:tc>
          <w:tcPr>
            <w:tcW w:w="757"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2513"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1861"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1934"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1692"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1680"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39" w:hRule="atLeast"/>
          <w:jc w:val="center"/>
        </w:trPr>
        <w:tc>
          <w:tcPr>
            <w:tcW w:w="757"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2513"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1861"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1934"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1692"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1680"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39" w:hRule="atLeast"/>
          <w:jc w:val="center"/>
        </w:trPr>
        <w:tc>
          <w:tcPr>
            <w:tcW w:w="757"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2513"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1861"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1934"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1692"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1680"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58" w:hRule="atLeast"/>
          <w:jc w:val="center"/>
        </w:trPr>
        <w:tc>
          <w:tcPr>
            <w:tcW w:w="757"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2513"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1861"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1934"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1692"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c>
          <w:tcPr>
            <w:tcW w:w="1680"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仿宋_GB2312" w:eastAsia="仿宋_GB2312" w:cs="仿宋_GB2312" w:hAnsiTheme="minorHAnsi"/>
                <w:b/>
                <w:bCs/>
                <w:i w:val="0"/>
                <w:iCs w:val="0"/>
                <w:kern w:val="0"/>
                <w:sz w:val="28"/>
                <w:szCs w:val="28"/>
                <w:lang w:val="en-US" w:eastAsia="zh-CN" w:bidi="ar"/>
              </w:rPr>
              <w:t> </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i w:val="0"/>
          <w:iCs w:val="0"/>
          <w:sz w:val="19"/>
          <w:szCs w:val="19"/>
        </w:rPr>
      </w:pPr>
      <w:r>
        <w:rPr>
          <w:rFonts w:hint="eastAsia" w:ascii="楷体_GB2312" w:hAnsi="微软雅黑" w:eastAsia="楷体_GB2312" w:cs="楷体_GB2312"/>
          <w:b/>
          <w:bCs/>
          <w:i w:val="0"/>
          <w:iCs w:val="0"/>
          <w:caps w:val="0"/>
          <w:color w:val="555555"/>
          <w:spacing w:val="0"/>
          <w:kern w:val="0"/>
          <w:sz w:val="28"/>
          <w:szCs w:val="28"/>
          <w:shd w:val="clear" w:fill="FFFFFF"/>
          <w:lang w:val="en-US" w:eastAsia="zh-CN" w:bidi="ar"/>
        </w:rPr>
        <w:t> </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黑体" w:hAnsi="宋体" w:eastAsia="黑体" w:cs="黑体"/>
          <w:i w:val="0"/>
          <w:iCs w:val="0"/>
          <w:caps w:val="0"/>
          <w:color w:val="555555"/>
          <w:spacing w:val="0"/>
          <w:kern w:val="0"/>
          <w:sz w:val="32"/>
          <w:szCs w:val="32"/>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黑体" w:hAnsi="宋体" w:eastAsia="黑体" w:cs="黑体"/>
          <w:i w:val="0"/>
          <w:iCs w:val="0"/>
          <w:caps w:val="0"/>
          <w:color w:val="555555"/>
          <w:spacing w:val="0"/>
          <w:kern w:val="0"/>
          <w:sz w:val="32"/>
          <w:szCs w:val="32"/>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黑体" w:hAnsi="宋体" w:eastAsia="黑体" w:cs="黑体"/>
          <w:i w:val="0"/>
          <w:iCs w:val="0"/>
          <w:caps w:val="0"/>
          <w:color w:val="555555"/>
          <w:spacing w:val="0"/>
          <w:kern w:val="0"/>
          <w:sz w:val="32"/>
          <w:szCs w:val="32"/>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黑体" w:hAnsi="宋体" w:eastAsia="黑体" w:cs="黑体"/>
          <w:i w:val="0"/>
          <w:iCs w:val="0"/>
          <w:caps w:val="0"/>
          <w:color w:val="555555"/>
          <w:spacing w:val="0"/>
          <w:kern w:val="0"/>
          <w:sz w:val="32"/>
          <w:szCs w:val="32"/>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黑体" w:hAnsi="宋体" w:eastAsia="黑体" w:cs="黑体"/>
          <w:i w:val="0"/>
          <w:iCs w:val="0"/>
          <w:caps w:val="0"/>
          <w:color w:val="555555"/>
          <w:spacing w:val="0"/>
          <w:kern w:val="0"/>
          <w:sz w:val="32"/>
          <w:szCs w:val="32"/>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黑体" w:hAnsi="宋体" w:eastAsia="黑体" w:cs="黑体"/>
          <w:i w:val="0"/>
          <w:iCs w:val="0"/>
          <w:caps w:val="0"/>
          <w:color w:val="555555"/>
          <w:spacing w:val="0"/>
          <w:kern w:val="0"/>
          <w:sz w:val="32"/>
          <w:szCs w:val="32"/>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黑体" w:hAnsi="宋体" w:eastAsia="黑体" w:cs="黑体"/>
          <w:i w:val="0"/>
          <w:iCs w:val="0"/>
          <w:caps w:val="0"/>
          <w:color w:val="555555"/>
          <w:spacing w:val="0"/>
          <w:kern w:val="0"/>
          <w:sz w:val="32"/>
          <w:szCs w:val="32"/>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黑体" w:hAnsi="宋体" w:eastAsia="黑体" w:cs="黑体"/>
          <w:i w:val="0"/>
          <w:iCs w:val="0"/>
          <w:caps w:val="0"/>
          <w:color w:val="555555"/>
          <w:spacing w:val="0"/>
          <w:kern w:val="0"/>
          <w:sz w:val="32"/>
          <w:szCs w:val="32"/>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黑体" w:hAnsi="宋体" w:eastAsia="黑体" w:cs="黑体"/>
          <w:i w:val="0"/>
          <w:iCs w:val="0"/>
          <w:caps w:val="0"/>
          <w:color w:val="555555"/>
          <w:spacing w:val="0"/>
          <w:kern w:val="0"/>
          <w:sz w:val="32"/>
          <w:szCs w:val="32"/>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黑体" w:hAnsi="宋体" w:eastAsia="黑体" w:cs="黑体"/>
          <w:i w:val="0"/>
          <w:iCs w:val="0"/>
          <w:caps w:val="0"/>
          <w:color w:val="555555"/>
          <w:spacing w:val="0"/>
          <w:kern w:val="0"/>
          <w:sz w:val="32"/>
          <w:szCs w:val="32"/>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黑体" w:hAnsi="宋体" w:eastAsia="黑体" w:cs="黑体"/>
          <w:i w:val="0"/>
          <w:iCs w:val="0"/>
          <w:caps w:val="0"/>
          <w:color w:val="555555"/>
          <w:spacing w:val="0"/>
          <w:kern w:val="0"/>
          <w:sz w:val="32"/>
          <w:szCs w:val="32"/>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附表2：</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微软雅黑" w:hAnsi="微软雅黑" w:eastAsia="微软雅黑" w:cs="微软雅黑"/>
          <w:i w:val="0"/>
          <w:iCs w:val="0"/>
          <w:caps w:val="0"/>
          <w:color w:val="555555"/>
          <w:spacing w:val="0"/>
          <w:sz w:val="19"/>
          <w:szCs w:val="19"/>
        </w:rPr>
      </w:pPr>
      <w:r>
        <w:rPr>
          <w:rFonts w:hint="eastAsia" w:ascii="方正小标宋简体" w:hAnsi="方正小标宋简体" w:eastAsia="方正小标宋简体" w:cs="方正小标宋简体"/>
          <w:i w:val="0"/>
          <w:iCs w:val="0"/>
          <w:caps w:val="0"/>
          <w:color w:val="555555"/>
          <w:spacing w:val="0"/>
          <w:kern w:val="0"/>
          <w:sz w:val="36"/>
          <w:szCs w:val="36"/>
          <w:shd w:val="clear" w:fill="FFFFFF"/>
          <w:lang w:val="en-US" w:eastAsia="zh-CN" w:bidi="ar"/>
        </w:rPr>
        <w:t>规划或水利工程项目节水评价章节编写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微软雅黑" w:hAnsi="微软雅黑" w:eastAsia="微软雅黑" w:cs="微软雅黑"/>
          <w:i w:val="0"/>
          <w:iCs w:val="0"/>
          <w:caps w:val="0"/>
          <w:color w:val="555555"/>
          <w:spacing w:val="0"/>
          <w:sz w:val="19"/>
          <w:szCs w:val="19"/>
        </w:rPr>
      </w:pPr>
      <w:r>
        <w:rPr>
          <w:rFonts w:hint="eastAsia" w:ascii="方正小标宋简体" w:hAnsi="方正小标宋简体" w:eastAsia="方正小标宋简体" w:cs="方正小标宋简体"/>
          <w:i w:val="0"/>
          <w:iCs w:val="0"/>
          <w:caps w:val="0"/>
          <w:color w:val="555555"/>
          <w:spacing w:val="0"/>
          <w:kern w:val="0"/>
          <w:sz w:val="36"/>
          <w:szCs w:val="36"/>
          <w:shd w:val="clear" w:fill="FFFFFF"/>
          <w:lang w:val="en-US" w:eastAsia="zh-CN" w:bidi="ar"/>
        </w:rPr>
        <w:t>提纲（参考）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   </w:t>
      </w:r>
      <w:r>
        <w:rPr>
          <w:rFonts w:hint="eastAsia" w:ascii="黑体" w:hAnsi="宋体" w:eastAsia="黑体" w:cs="黑体"/>
          <w:i w:val="0"/>
          <w:iCs w:val="0"/>
          <w:caps w:val="0"/>
          <w:color w:val="555555"/>
          <w:spacing w:val="0"/>
          <w:kern w:val="0"/>
          <w:sz w:val="32"/>
          <w:szCs w:val="32"/>
          <w:shd w:val="clear" w:fill="FFFFFF"/>
          <w:lang w:val="en-US" w:eastAsia="zh-CN" w:bidi="ar"/>
        </w:rPr>
        <w:t> 一、现状节水水平与节水潜力分折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    （一）节水评价范围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    （二）现状节水水平评价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（三）现状节水潜力分析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（四）现状节水存在的主要问题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    </w:t>
      </w:r>
      <w:r>
        <w:rPr>
          <w:rFonts w:hint="eastAsia" w:ascii="黑体" w:hAnsi="宋体" w:eastAsia="黑体" w:cs="黑体"/>
          <w:i w:val="0"/>
          <w:iCs w:val="0"/>
          <w:caps w:val="0"/>
          <w:color w:val="555555"/>
          <w:spacing w:val="0"/>
          <w:kern w:val="0"/>
          <w:sz w:val="32"/>
          <w:szCs w:val="32"/>
          <w:shd w:val="clear" w:fill="FFFFFF"/>
          <w:lang w:val="en-US" w:eastAsia="zh-CN" w:bidi="ar"/>
        </w:rPr>
        <w:t>二、节水目标与指标评价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（一）节水目标评价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（二）节水指标评价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   </w:t>
      </w:r>
      <w:r>
        <w:rPr>
          <w:rFonts w:hint="eastAsia" w:ascii="黑体" w:hAnsi="宋体" w:eastAsia="黑体" w:cs="黑体"/>
          <w:i w:val="0"/>
          <w:iCs w:val="0"/>
          <w:caps w:val="0"/>
          <w:color w:val="555555"/>
          <w:spacing w:val="0"/>
          <w:kern w:val="0"/>
          <w:sz w:val="32"/>
          <w:szCs w:val="32"/>
          <w:shd w:val="clear" w:fill="FFFFFF"/>
          <w:lang w:val="en-US" w:eastAsia="zh-CN" w:bidi="ar"/>
        </w:rPr>
        <w:t> 三、规划水平年节水符合性评价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（一）需水预测节水符合性评价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（二）供水预测节水符合性评价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（三）水资源配置方案节水符合性评价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（四）取用水必要性与可行性评价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（五）取用水规模合理性节水评价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    </w:t>
      </w:r>
      <w:r>
        <w:rPr>
          <w:rFonts w:hint="eastAsia" w:ascii="黑体" w:hAnsi="宋体" w:eastAsia="黑体" w:cs="黑体"/>
          <w:i w:val="0"/>
          <w:iCs w:val="0"/>
          <w:caps w:val="0"/>
          <w:color w:val="555555"/>
          <w:spacing w:val="0"/>
          <w:kern w:val="0"/>
          <w:sz w:val="32"/>
          <w:szCs w:val="32"/>
          <w:shd w:val="clear" w:fill="FFFFFF"/>
          <w:lang w:val="en-US" w:eastAsia="zh-CN" w:bidi="ar"/>
        </w:rPr>
        <w:t>四、节水措施方案与节水效果评价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（一）节水措施方案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（二）节水效果评价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（三）节水保障措施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    </w:t>
      </w:r>
      <w:r>
        <w:rPr>
          <w:rFonts w:hint="eastAsia" w:ascii="黑体" w:hAnsi="宋体" w:eastAsia="黑体" w:cs="黑体"/>
          <w:i w:val="0"/>
          <w:iCs w:val="0"/>
          <w:caps w:val="0"/>
          <w:color w:val="555555"/>
          <w:spacing w:val="0"/>
          <w:kern w:val="0"/>
          <w:sz w:val="32"/>
          <w:szCs w:val="32"/>
          <w:shd w:val="clear" w:fill="FFFFFF"/>
          <w:lang w:val="en-US" w:eastAsia="zh-CN" w:bidi="ar"/>
        </w:rPr>
        <w:t>五、节水评价结论与建议(应有明确结论与建议，可不单独成节)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（一）结论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（二）建议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黑体" w:hAnsi="宋体" w:eastAsia="黑体" w:cs="黑体"/>
          <w:i w:val="0"/>
          <w:iCs w:val="0"/>
          <w:caps w:val="0"/>
          <w:color w:val="555555"/>
          <w:spacing w:val="0"/>
          <w:kern w:val="0"/>
          <w:sz w:val="32"/>
          <w:szCs w:val="32"/>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附表3：</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微软雅黑" w:hAnsi="微软雅黑" w:eastAsia="微软雅黑" w:cs="微软雅黑"/>
          <w:i w:val="0"/>
          <w:iCs w:val="0"/>
          <w:caps w:val="0"/>
          <w:color w:val="555555"/>
          <w:spacing w:val="0"/>
          <w:sz w:val="19"/>
          <w:szCs w:val="19"/>
        </w:rPr>
      </w:pPr>
      <w:r>
        <w:rPr>
          <w:rFonts w:hint="eastAsia" w:ascii="方正小标宋简体" w:hAnsi="方正小标宋简体" w:eastAsia="方正小标宋简体" w:cs="方正小标宋简体"/>
          <w:i w:val="0"/>
          <w:iCs w:val="0"/>
          <w:caps w:val="0"/>
          <w:color w:val="555555"/>
          <w:spacing w:val="0"/>
          <w:kern w:val="0"/>
          <w:sz w:val="36"/>
          <w:szCs w:val="36"/>
          <w:shd w:val="clear" w:fill="FFFFFF"/>
          <w:lang w:val="en-US" w:eastAsia="zh-CN" w:bidi="ar"/>
        </w:rPr>
        <w:t>非水利建设项目节水评价章节编写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微软雅黑" w:hAnsi="微软雅黑" w:eastAsia="微软雅黑" w:cs="微软雅黑"/>
          <w:i w:val="0"/>
          <w:iCs w:val="0"/>
          <w:caps w:val="0"/>
          <w:color w:val="555555"/>
          <w:spacing w:val="0"/>
          <w:sz w:val="19"/>
          <w:szCs w:val="19"/>
        </w:rPr>
      </w:pPr>
      <w:r>
        <w:rPr>
          <w:rFonts w:hint="eastAsia" w:ascii="方正小标宋简体" w:hAnsi="方正小标宋简体" w:eastAsia="方正小标宋简体" w:cs="方正小标宋简体"/>
          <w:i w:val="0"/>
          <w:iCs w:val="0"/>
          <w:caps w:val="0"/>
          <w:color w:val="555555"/>
          <w:spacing w:val="0"/>
          <w:kern w:val="0"/>
          <w:sz w:val="36"/>
          <w:szCs w:val="36"/>
          <w:shd w:val="clear" w:fill="FFFFFF"/>
          <w:lang w:val="en-US" w:eastAsia="zh-CN" w:bidi="ar"/>
        </w:rPr>
        <w:t>提纲(参考)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一、现状节水水平评价与节水潜力分析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（一）现状节水水平评价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（二）现状节水潜力分析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（三）现状节水存在的主要问题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二、用水工艺与用水过程分析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  （一）用水环节与用水工艺分析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  （二）用水过程及水量平衡分析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三、取用水规模节水符合性评价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（一）节水指标先进性评价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（二）取用水规模合理性评价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（三）取用水规模核定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四、节水措施方案与保障措施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（一）节水措施方案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（二）节水保障措施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黑体" w:hAnsi="宋体" w:eastAsia="黑体" w:cs="黑体"/>
          <w:i w:val="0"/>
          <w:iCs w:val="0"/>
          <w:caps w:val="0"/>
          <w:color w:val="555555"/>
          <w:spacing w:val="0"/>
          <w:kern w:val="0"/>
          <w:sz w:val="32"/>
          <w:szCs w:val="32"/>
          <w:shd w:val="clear" w:fill="FFFFFF"/>
          <w:lang w:val="en-US" w:eastAsia="zh-CN" w:bidi="ar"/>
        </w:rPr>
        <w:t>五、节水评价结论与建议(应有明确结论与建议，可不单独成节)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（一）结论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微软雅黑" w:hAnsi="微软雅黑" w:eastAsia="微软雅黑" w:cs="微软雅黑"/>
          <w:i w:val="0"/>
          <w:iCs w:val="0"/>
          <w:caps w:val="0"/>
          <w:color w:val="555555"/>
          <w:spacing w:val="0"/>
          <w:sz w:val="19"/>
          <w:szCs w:val="19"/>
        </w:rPr>
      </w:pPr>
      <w:r>
        <w:rPr>
          <w:rFonts w:hint="eastAsia" w:ascii="仿宋_GB2312" w:hAnsi="微软雅黑" w:eastAsia="仿宋_GB2312" w:cs="仿宋_GB2312"/>
          <w:i w:val="0"/>
          <w:iCs w:val="0"/>
          <w:caps w:val="0"/>
          <w:color w:val="555555"/>
          <w:spacing w:val="0"/>
          <w:kern w:val="0"/>
          <w:sz w:val="32"/>
          <w:szCs w:val="32"/>
          <w:shd w:val="clear" w:fill="FFFFFF"/>
          <w:lang w:val="en-US" w:eastAsia="zh-CN" w:bidi="ar"/>
        </w:rPr>
        <w:t>（二）建议</w:t>
      </w:r>
    </w:p>
    <w:p>
      <w:pPr>
        <w:keepNext w:val="0"/>
        <w:keepLines w:val="0"/>
        <w:pageBreakBefore w:val="0"/>
        <w:kinsoku/>
        <w:wordWrap/>
        <w:overflowPunct/>
        <w:topLinePunct w:val="0"/>
        <w:autoSpaceDE/>
        <w:autoSpaceDN/>
        <w:bidi w:val="0"/>
        <w:adjustRightInd/>
        <w:snapToGrid/>
        <w:spacing w:line="5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4YjQ4ODgxYWI0YjFkYTc1MjgyZTIyOTIwYTkyZTEifQ=="/>
  </w:docVars>
  <w:rsids>
    <w:rsidRoot w:val="6B5C1C0D"/>
    <w:rsid w:val="1CD53F4A"/>
    <w:rsid w:val="6B5C1C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2023-09-14T07:39:00Z</dcterms:created>
  <dc:creator>豆包包包包包子</dc:creator>
  <cp:lastModifiedBy>LENOVO</cp:lastModifiedBy>
  <dcterms:modified xsi:type="dcterms:W3CDTF">2023-09-14T08:01:33Z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74452D86820E4DF68B0B5C5163C4E999_11</vt:lpwstr>
  </property>
</Properties>
</file>