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65"/>
        <w:ind w:left="651"/>
        <w:rPr>
          <w:rFonts w:ascii="Times New Roman" w:eastAsia="Times New Roman"/>
        </w:rPr>
      </w:pPr>
      <w:bookmarkStart w:id="0" w:name="_GoBack"/>
      <w:bookmarkEnd w:id="0"/>
      <w:r>
        <w:rPr>
          <w:rFonts w:hint="eastAsia" w:ascii="黑体" w:eastAsia="黑体"/>
          <w:spacing w:val="-32"/>
        </w:rPr>
        <w:t xml:space="preserve">附件 </w:t>
      </w:r>
      <w:r>
        <w:rPr>
          <w:rFonts w:ascii="Times New Roman" w:eastAsia="Times New Roman"/>
        </w:rPr>
        <w:t>2</w:t>
      </w:r>
    </w:p>
    <w:p>
      <w:pPr>
        <w:pStyle w:val="4"/>
        <w:spacing w:before="4"/>
        <w:rPr>
          <w:rFonts w:ascii="Times New Roman"/>
          <w:sz w:val="45"/>
        </w:rPr>
      </w:pPr>
      <w:r>
        <w:br w:type="column"/>
      </w:r>
    </w:p>
    <w:p>
      <w:pPr>
        <w:pStyle w:val="3"/>
        <w:spacing w:before="1"/>
        <w:ind w:left="608" w:right="3376"/>
        <w:rPr>
          <w:rFonts w:hint="eastAsia" w:ascii="方正小标宋简体" w:eastAsia="方正小标宋简体"/>
        </w:rPr>
      </w:pPr>
      <w:r>
        <w:rPr>
          <w:rFonts w:hint="eastAsia" w:ascii="方正小标宋简体" w:eastAsia="方正小标宋简体"/>
        </w:rPr>
        <w:t>家庭病床服务项目清单</w:t>
      </w:r>
    </w:p>
    <w:p>
      <w:pPr>
        <w:pStyle w:val="4"/>
        <w:spacing w:before="33"/>
        <w:ind w:left="607" w:right="3376"/>
        <w:jc w:val="center"/>
        <w:rPr>
          <w:rFonts w:hint="eastAsia" w:ascii="楷体" w:eastAsia="楷体"/>
        </w:rPr>
      </w:pPr>
      <w:r>
        <w:rPr>
          <w:rFonts w:hint="eastAsia" w:ascii="楷体" w:eastAsia="楷体"/>
        </w:rPr>
        <w:t>（</w:t>
      </w:r>
      <w:r>
        <w:rPr>
          <w:rFonts w:ascii="Times New Roman" w:eastAsia="Times New Roman"/>
        </w:rPr>
        <w:t>202</w:t>
      </w:r>
      <w:r>
        <w:rPr>
          <w:rFonts w:hint="eastAsia" w:ascii="Times New Roman" w:eastAsia="宋体"/>
          <w:lang w:val="en-US" w:eastAsia="zh-CN"/>
        </w:rPr>
        <w:t>1</w:t>
      </w:r>
      <w:r>
        <w:rPr>
          <w:rFonts w:ascii="Times New Roman" w:eastAsia="Times New Roman"/>
        </w:rPr>
        <w:t xml:space="preserve"> </w:t>
      </w:r>
      <w:r>
        <w:rPr>
          <w:rFonts w:hint="eastAsia" w:ascii="楷体" w:eastAsia="楷体"/>
        </w:rPr>
        <w:t>年版）</w:t>
      </w:r>
    </w:p>
    <w:p>
      <w:pPr>
        <w:spacing w:after="0"/>
        <w:jc w:val="center"/>
        <w:rPr>
          <w:rFonts w:hint="eastAsia" w:ascii="楷体" w:eastAsia="楷体"/>
        </w:rPr>
        <w:sectPr>
          <w:footerReference r:id="rId5" w:type="default"/>
          <w:footerReference r:id="rId6" w:type="even"/>
          <w:type w:val="continuous"/>
          <w:pgSz w:w="11910" w:h="16840"/>
          <w:pgMar w:top="1520" w:right="780" w:bottom="280" w:left="880" w:header="720" w:footer="720" w:gutter="0"/>
          <w:pgNumType w:fmt="decimal"/>
          <w:cols w:equalWidth="0" w:num="2">
            <w:col w:w="1557" w:space="1069"/>
            <w:col w:w="7624"/>
          </w:cols>
        </w:sectPr>
      </w:pPr>
    </w:p>
    <w:tbl>
      <w:tblPr>
        <w:tblStyle w:val="7"/>
        <w:tblW w:w="0" w:type="auto"/>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
        <w:gridCol w:w="426"/>
        <w:gridCol w:w="1842"/>
        <w:gridCol w:w="6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line="300" w:lineRule="exact"/>
              <w:ind w:left="110" w:right="94"/>
              <w:rPr>
                <w:rFonts w:hint="eastAsia" w:ascii="黑体" w:eastAsia="黑体"/>
                <w:sz w:val="21"/>
              </w:rPr>
            </w:pPr>
            <w:r>
              <w:rPr>
                <w:rFonts w:hint="eastAsia" w:ascii="黑体" w:eastAsia="黑体"/>
                <w:sz w:val="21"/>
              </w:rPr>
              <w:t>序号</w:t>
            </w:r>
          </w:p>
        </w:tc>
        <w:tc>
          <w:tcPr>
            <w:tcW w:w="426" w:type="dxa"/>
          </w:tcPr>
          <w:p>
            <w:pPr>
              <w:pStyle w:val="11"/>
              <w:spacing w:line="300" w:lineRule="exact"/>
              <w:ind w:left="111" w:right="93"/>
              <w:rPr>
                <w:rFonts w:hint="eastAsia" w:ascii="黑体" w:eastAsia="黑体"/>
                <w:sz w:val="21"/>
              </w:rPr>
            </w:pPr>
            <w:r>
              <w:rPr>
                <w:rFonts w:hint="eastAsia" w:ascii="黑体" w:eastAsia="黑体"/>
                <w:sz w:val="21"/>
              </w:rPr>
              <w:t>类别</w:t>
            </w:r>
          </w:p>
        </w:tc>
        <w:tc>
          <w:tcPr>
            <w:tcW w:w="1842" w:type="dxa"/>
          </w:tcPr>
          <w:p>
            <w:pPr>
              <w:pStyle w:val="11"/>
              <w:spacing w:before="179"/>
              <w:ind w:left="513"/>
              <w:rPr>
                <w:rFonts w:hint="eastAsia" w:ascii="黑体" w:hAnsi="黑体" w:eastAsia="黑体"/>
                <w:sz w:val="21"/>
              </w:rPr>
            </w:pPr>
            <w:r>
              <w:rPr>
                <w:rFonts w:hint="eastAsia" w:ascii="黑体" w:hAnsi="黑体" w:eastAsia="黑体"/>
                <w:sz w:val="21"/>
              </w:rPr>
              <w:t>Ⅰ级项目</w:t>
            </w:r>
          </w:p>
        </w:tc>
        <w:tc>
          <w:tcPr>
            <w:tcW w:w="6521" w:type="dxa"/>
          </w:tcPr>
          <w:p>
            <w:pPr>
              <w:pStyle w:val="11"/>
              <w:spacing w:before="179"/>
              <w:ind w:left="110" w:right="96"/>
              <w:jc w:val="center"/>
              <w:rPr>
                <w:rFonts w:hint="eastAsia" w:ascii="黑体" w:eastAsia="黑体"/>
                <w:sz w:val="21"/>
              </w:rPr>
            </w:pPr>
            <w:r>
              <w:rPr>
                <w:rFonts w:hint="eastAsia" w:ascii="黑体" w:eastAsia="黑体"/>
                <w:sz w:val="21"/>
              </w:rPr>
              <w:t>项目内容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60"/>
              <w:rPr>
                <w:sz w:val="21"/>
              </w:rPr>
            </w:pPr>
            <w:r>
              <w:rPr>
                <w:w w:val="99"/>
                <w:sz w:val="21"/>
              </w:rPr>
              <w:t>1</w:t>
            </w:r>
          </w:p>
        </w:tc>
        <w:tc>
          <w:tcPr>
            <w:tcW w:w="426" w:type="dxa"/>
            <w:vMerge w:val="restart"/>
          </w:tcPr>
          <w:p>
            <w:pPr>
              <w:pStyle w:val="11"/>
              <w:rPr>
                <w:rFonts w:ascii="楷体"/>
                <w:sz w:val="20"/>
              </w:rPr>
            </w:pPr>
          </w:p>
          <w:p>
            <w:pPr>
              <w:pStyle w:val="11"/>
              <w:rPr>
                <w:rFonts w:ascii="楷体"/>
                <w:sz w:val="20"/>
              </w:rPr>
            </w:pPr>
          </w:p>
          <w:p>
            <w:pPr>
              <w:pStyle w:val="11"/>
              <w:rPr>
                <w:rFonts w:ascii="楷体"/>
                <w:sz w:val="20"/>
              </w:rPr>
            </w:pPr>
          </w:p>
          <w:p>
            <w:pPr>
              <w:pStyle w:val="11"/>
              <w:spacing w:before="8"/>
              <w:rPr>
                <w:rFonts w:ascii="楷体"/>
                <w:sz w:val="26"/>
              </w:rPr>
            </w:pPr>
          </w:p>
          <w:p>
            <w:pPr>
              <w:pStyle w:val="11"/>
              <w:spacing w:line="266" w:lineRule="auto"/>
              <w:ind w:left="111" w:right="93"/>
              <w:jc w:val="both"/>
              <w:rPr>
                <w:sz w:val="21"/>
              </w:rPr>
            </w:pPr>
            <w:r>
              <w:rPr>
                <w:sz w:val="21"/>
              </w:rPr>
              <w:t>上门服务</w:t>
            </w:r>
          </w:p>
        </w:tc>
        <w:tc>
          <w:tcPr>
            <w:tcW w:w="1842" w:type="dxa"/>
          </w:tcPr>
          <w:p>
            <w:pPr>
              <w:pStyle w:val="11"/>
              <w:spacing w:before="30" w:line="250" w:lineRule="exact"/>
              <w:ind w:left="107"/>
              <w:rPr>
                <w:sz w:val="21"/>
              </w:rPr>
            </w:pPr>
            <w:r>
              <w:rPr>
                <w:sz w:val="21"/>
              </w:rPr>
              <w:t>上门评估建床</w:t>
            </w:r>
          </w:p>
        </w:tc>
        <w:tc>
          <w:tcPr>
            <w:tcW w:w="6521" w:type="dxa"/>
          </w:tcPr>
          <w:p>
            <w:pPr>
              <w:pStyle w:val="11"/>
              <w:spacing w:before="30" w:line="250" w:lineRule="exact"/>
              <w:ind w:left="106"/>
              <w:rPr>
                <w:sz w:val="21"/>
              </w:rPr>
            </w:pPr>
            <w:r>
              <w:rPr>
                <w:sz w:val="21"/>
              </w:rPr>
              <w:t>医生第一次上门为申请建立家庭病床的患者出诊评估是否可以建床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60"/>
              <w:rPr>
                <w:sz w:val="21"/>
              </w:rPr>
            </w:pPr>
            <w:r>
              <w:rPr>
                <w:w w:val="99"/>
                <w:sz w:val="21"/>
              </w:rPr>
              <w:t>2</w:t>
            </w:r>
          </w:p>
        </w:tc>
        <w:tc>
          <w:tcPr>
            <w:tcW w:w="426" w:type="dxa"/>
            <w:vMerge w:val="continue"/>
            <w:tcBorders>
              <w:top w:val="nil"/>
            </w:tcBorders>
          </w:tcPr>
          <w:p>
            <w:pPr>
              <w:rPr>
                <w:sz w:val="2"/>
                <w:szCs w:val="2"/>
              </w:rPr>
            </w:pPr>
          </w:p>
        </w:tc>
        <w:tc>
          <w:tcPr>
            <w:tcW w:w="1842" w:type="dxa"/>
          </w:tcPr>
          <w:p>
            <w:pPr>
              <w:pStyle w:val="11"/>
              <w:spacing w:before="30" w:line="250" w:lineRule="exact"/>
              <w:ind w:left="107"/>
              <w:rPr>
                <w:sz w:val="21"/>
              </w:rPr>
            </w:pPr>
            <w:r>
              <w:rPr>
                <w:sz w:val="21"/>
              </w:rPr>
              <w:t>上门出诊</w:t>
            </w:r>
          </w:p>
        </w:tc>
        <w:tc>
          <w:tcPr>
            <w:tcW w:w="6521" w:type="dxa"/>
          </w:tcPr>
          <w:p>
            <w:pPr>
              <w:pStyle w:val="11"/>
              <w:spacing w:before="30" w:line="250" w:lineRule="exact"/>
              <w:ind w:left="106"/>
              <w:rPr>
                <w:sz w:val="21"/>
              </w:rPr>
            </w:pPr>
            <w:r>
              <w:rPr>
                <w:sz w:val="21"/>
              </w:rPr>
              <w:t>指非家庭病房病人有特殊需要，单次出诊进行诊疗、检查、治疗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
              <w:rPr>
                <w:rFonts w:ascii="楷体"/>
                <w:sz w:val="14"/>
              </w:rPr>
            </w:pPr>
          </w:p>
          <w:p>
            <w:pPr>
              <w:pStyle w:val="11"/>
              <w:ind w:left="160"/>
              <w:rPr>
                <w:sz w:val="21"/>
              </w:rPr>
            </w:pPr>
            <w:r>
              <w:rPr>
                <w:w w:val="99"/>
                <w:sz w:val="21"/>
              </w:rPr>
              <w:t>3</w:t>
            </w:r>
          </w:p>
        </w:tc>
        <w:tc>
          <w:tcPr>
            <w:tcW w:w="426" w:type="dxa"/>
            <w:vMerge w:val="continue"/>
            <w:tcBorders>
              <w:top w:val="nil"/>
            </w:tcBorders>
          </w:tcPr>
          <w:p>
            <w:pPr>
              <w:rPr>
                <w:sz w:val="2"/>
                <w:szCs w:val="2"/>
              </w:rPr>
            </w:pPr>
          </w:p>
        </w:tc>
        <w:tc>
          <w:tcPr>
            <w:tcW w:w="1842" w:type="dxa"/>
          </w:tcPr>
          <w:p>
            <w:pPr>
              <w:pStyle w:val="11"/>
              <w:spacing w:before="29"/>
              <w:ind w:left="107"/>
              <w:rPr>
                <w:sz w:val="21"/>
              </w:rPr>
            </w:pPr>
            <w:r>
              <w:rPr>
                <w:sz w:val="21"/>
              </w:rPr>
              <w:t>常规上门查床诊</w:t>
            </w:r>
          </w:p>
          <w:p>
            <w:pPr>
              <w:pStyle w:val="11"/>
              <w:spacing w:before="31" w:line="251" w:lineRule="exact"/>
              <w:ind w:left="107"/>
              <w:rPr>
                <w:sz w:val="21"/>
              </w:rPr>
            </w:pPr>
            <w:r>
              <w:rPr>
                <w:w w:val="99"/>
                <w:sz w:val="21"/>
              </w:rPr>
              <w:t>疗</w:t>
            </w:r>
          </w:p>
        </w:tc>
        <w:tc>
          <w:tcPr>
            <w:tcW w:w="6521" w:type="dxa"/>
          </w:tcPr>
          <w:p>
            <w:pPr>
              <w:pStyle w:val="11"/>
              <w:spacing w:before="1"/>
              <w:rPr>
                <w:rFonts w:ascii="楷体"/>
                <w:sz w:val="14"/>
              </w:rPr>
            </w:pPr>
          </w:p>
          <w:p>
            <w:pPr>
              <w:pStyle w:val="11"/>
              <w:ind w:left="106"/>
              <w:rPr>
                <w:sz w:val="21"/>
              </w:rPr>
            </w:pPr>
            <w:r>
              <w:rPr>
                <w:spacing w:val="-7"/>
                <w:sz w:val="21"/>
              </w:rPr>
              <w:t>指医生定期上门为病人诊疗；含建立病历、定期查房和病情记录及诊查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426" w:type="dxa"/>
          </w:tcPr>
          <w:p>
            <w:pPr>
              <w:pStyle w:val="11"/>
              <w:spacing w:before="8"/>
              <w:rPr>
                <w:rFonts w:ascii="楷体"/>
                <w:sz w:val="25"/>
              </w:rPr>
            </w:pPr>
          </w:p>
          <w:p>
            <w:pPr>
              <w:pStyle w:val="11"/>
              <w:ind w:left="160"/>
              <w:rPr>
                <w:sz w:val="21"/>
              </w:rPr>
            </w:pPr>
            <w:r>
              <w:rPr>
                <w:w w:val="99"/>
                <w:sz w:val="21"/>
              </w:rPr>
              <w:t>4</w:t>
            </w:r>
          </w:p>
        </w:tc>
        <w:tc>
          <w:tcPr>
            <w:tcW w:w="426" w:type="dxa"/>
            <w:vMerge w:val="continue"/>
            <w:tcBorders>
              <w:top w:val="nil"/>
            </w:tcBorders>
          </w:tcPr>
          <w:p>
            <w:pPr>
              <w:rPr>
                <w:sz w:val="2"/>
                <w:szCs w:val="2"/>
              </w:rPr>
            </w:pPr>
          </w:p>
        </w:tc>
        <w:tc>
          <w:tcPr>
            <w:tcW w:w="1842" w:type="dxa"/>
          </w:tcPr>
          <w:p>
            <w:pPr>
              <w:pStyle w:val="11"/>
              <w:spacing w:before="29" w:line="266" w:lineRule="auto"/>
              <w:ind w:left="107" w:right="25"/>
              <w:rPr>
                <w:sz w:val="21"/>
              </w:rPr>
            </w:pPr>
            <w:r>
              <w:rPr>
                <w:sz w:val="21"/>
              </w:rPr>
              <w:t>家庭病床上门服务（检查、护理、</w:t>
            </w:r>
          </w:p>
          <w:p>
            <w:pPr>
              <w:pStyle w:val="11"/>
              <w:spacing w:before="2" w:line="251" w:lineRule="exact"/>
              <w:ind w:left="107"/>
              <w:rPr>
                <w:sz w:val="21"/>
              </w:rPr>
            </w:pPr>
            <w:r>
              <w:rPr>
                <w:sz w:val="21"/>
              </w:rPr>
              <w:t>治疗等）</w:t>
            </w:r>
          </w:p>
        </w:tc>
        <w:tc>
          <w:tcPr>
            <w:tcW w:w="6521" w:type="dxa"/>
          </w:tcPr>
          <w:p>
            <w:pPr>
              <w:pStyle w:val="11"/>
              <w:spacing w:before="8"/>
              <w:rPr>
                <w:rFonts w:ascii="楷体"/>
                <w:sz w:val="25"/>
              </w:rPr>
            </w:pPr>
          </w:p>
          <w:p>
            <w:pPr>
              <w:pStyle w:val="11"/>
              <w:ind w:left="106"/>
              <w:rPr>
                <w:sz w:val="21"/>
              </w:rPr>
            </w:pPr>
            <w:r>
              <w:rPr>
                <w:sz w:val="21"/>
              </w:rPr>
              <w:t>指因医疗需要医护人员上门进行各项检查、治疗服务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26" w:type="dxa"/>
          </w:tcPr>
          <w:p>
            <w:pPr>
              <w:pStyle w:val="11"/>
              <w:spacing w:before="180"/>
              <w:ind w:left="160"/>
              <w:rPr>
                <w:sz w:val="21"/>
              </w:rPr>
            </w:pPr>
            <w:r>
              <w:rPr>
                <w:w w:val="99"/>
                <w:sz w:val="21"/>
              </w:rPr>
              <w:t>5</w:t>
            </w:r>
          </w:p>
        </w:tc>
        <w:tc>
          <w:tcPr>
            <w:tcW w:w="426" w:type="dxa"/>
            <w:vMerge w:val="continue"/>
            <w:tcBorders>
              <w:top w:val="nil"/>
            </w:tcBorders>
          </w:tcPr>
          <w:p>
            <w:pPr>
              <w:rPr>
                <w:sz w:val="2"/>
                <w:szCs w:val="2"/>
              </w:rPr>
            </w:pPr>
          </w:p>
        </w:tc>
        <w:tc>
          <w:tcPr>
            <w:tcW w:w="1842" w:type="dxa"/>
          </w:tcPr>
          <w:p>
            <w:pPr>
              <w:pStyle w:val="11"/>
              <w:spacing w:before="180"/>
              <w:ind w:left="107"/>
              <w:rPr>
                <w:sz w:val="21"/>
              </w:rPr>
            </w:pPr>
            <w:r>
              <w:rPr>
                <w:sz w:val="21"/>
              </w:rPr>
              <w:t>换药</w:t>
            </w:r>
          </w:p>
        </w:tc>
        <w:tc>
          <w:tcPr>
            <w:tcW w:w="6521" w:type="dxa"/>
          </w:tcPr>
          <w:p>
            <w:pPr>
              <w:pStyle w:val="11"/>
              <w:spacing w:line="300" w:lineRule="atLeast"/>
              <w:ind w:left="106" w:right="-15"/>
              <w:rPr>
                <w:sz w:val="21"/>
              </w:rPr>
            </w:pPr>
            <w:r>
              <w:rPr>
                <w:spacing w:val="-13"/>
                <w:w w:val="95"/>
                <w:sz w:val="21"/>
              </w:rPr>
              <w:t xml:space="preserve">在之前药物达到规定的使用时间后，将旧的药物撤下，将新的药物敷上。  </w:t>
            </w:r>
            <w:r>
              <w:rPr>
                <w:spacing w:val="-5"/>
                <w:sz w:val="21"/>
              </w:rPr>
              <w:t>或者之前无药物，现在敷上新的药物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49" w:lineRule="exact"/>
              <w:ind w:left="160"/>
              <w:rPr>
                <w:sz w:val="21"/>
              </w:rPr>
            </w:pPr>
            <w:r>
              <w:rPr>
                <w:w w:val="99"/>
                <w:sz w:val="21"/>
              </w:rPr>
              <w:t>6</w:t>
            </w:r>
          </w:p>
        </w:tc>
        <w:tc>
          <w:tcPr>
            <w:tcW w:w="426" w:type="dxa"/>
            <w:vMerge w:val="continue"/>
            <w:tcBorders>
              <w:top w:val="nil"/>
            </w:tcBorders>
          </w:tcPr>
          <w:p>
            <w:pPr>
              <w:rPr>
                <w:sz w:val="2"/>
                <w:szCs w:val="2"/>
              </w:rPr>
            </w:pPr>
          </w:p>
        </w:tc>
        <w:tc>
          <w:tcPr>
            <w:tcW w:w="1842" w:type="dxa"/>
          </w:tcPr>
          <w:p>
            <w:pPr>
              <w:pStyle w:val="11"/>
              <w:spacing w:before="30" w:line="249" w:lineRule="exact"/>
              <w:ind w:left="107"/>
              <w:rPr>
                <w:sz w:val="21"/>
              </w:rPr>
            </w:pPr>
            <w:r>
              <w:rPr>
                <w:sz w:val="21"/>
              </w:rPr>
              <w:t>拆线</w:t>
            </w:r>
          </w:p>
        </w:tc>
        <w:tc>
          <w:tcPr>
            <w:tcW w:w="6521" w:type="dxa"/>
          </w:tcPr>
          <w:p>
            <w:pPr>
              <w:pStyle w:val="11"/>
              <w:spacing w:before="30" w:line="249" w:lineRule="exact"/>
              <w:ind w:left="106"/>
              <w:rPr>
                <w:sz w:val="21"/>
              </w:rPr>
            </w:pPr>
            <w:r>
              <w:rPr>
                <w:sz w:val="21"/>
              </w:rPr>
              <w:t>评估适应症和时间，进行无菌操作，将手术缝合线拆除。参照换药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60"/>
              <w:rPr>
                <w:sz w:val="21"/>
              </w:rPr>
            </w:pPr>
            <w:r>
              <w:rPr>
                <w:w w:val="99"/>
                <w:sz w:val="21"/>
              </w:rPr>
              <w:t>7</w:t>
            </w:r>
          </w:p>
        </w:tc>
        <w:tc>
          <w:tcPr>
            <w:tcW w:w="426" w:type="dxa"/>
            <w:vMerge w:val="continue"/>
            <w:tcBorders>
              <w:top w:val="nil"/>
            </w:tcBorders>
          </w:tcPr>
          <w:p>
            <w:pPr>
              <w:rPr>
                <w:sz w:val="2"/>
                <w:szCs w:val="2"/>
              </w:rPr>
            </w:pPr>
          </w:p>
        </w:tc>
        <w:tc>
          <w:tcPr>
            <w:tcW w:w="1842" w:type="dxa"/>
          </w:tcPr>
          <w:p>
            <w:pPr>
              <w:pStyle w:val="11"/>
              <w:spacing w:before="30" w:line="250" w:lineRule="exact"/>
              <w:ind w:left="107"/>
              <w:rPr>
                <w:sz w:val="21"/>
              </w:rPr>
            </w:pPr>
            <w:r>
              <w:rPr>
                <w:sz w:val="21"/>
              </w:rPr>
              <w:t>导尿</w:t>
            </w:r>
          </w:p>
        </w:tc>
        <w:tc>
          <w:tcPr>
            <w:tcW w:w="6521" w:type="dxa"/>
          </w:tcPr>
          <w:p>
            <w:pPr>
              <w:pStyle w:val="11"/>
              <w:spacing w:before="30" w:line="250" w:lineRule="exact"/>
              <w:ind w:left="106"/>
              <w:rPr>
                <w:sz w:val="21"/>
              </w:rPr>
            </w:pPr>
            <w:r>
              <w:rPr>
                <w:sz w:val="21"/>
              </w:rPr>
              <w:t>经由尿道插入导尿管到膀胱，引流出尿液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60"/>
              <w:rPr>
                <w:sz w:val="21"/>
              </w:rPr>
            </w:pPr>
            <w:r>
              <w:rPr>
                <w:w w:val="99"/>
                <w:sz w:val="21"/>
              </w:rPr>
              <w:t>8</w:t>
            </w:r>
          </w:p>
        </w:tc>
        <w:tc>
          <w:tcPr>
            <w:tcW w:w="426" w:type="dxa"/>
            <w:vMerge w:val="restart"/>
          </w:tcPr>
          <w:p>
            <w:pPr>
              <w:pStyle w:val="11"/>
              <w:rPr>
                <w:rFonts w:ascii="楷体"/>
                <w:sz w:val="20"/>
              </w:rPr>
            </w:pPr>
          </w:p>
          <w:p>
            <w:pPr>
              <w:pStyle w:val="11"/>
              <w:rPr>
                <w:rFonts w:ascii="楷体"/>
                <w:sz w:val="20"/>
              </w:rPr>
            </w:pPr>
          </w:p>
          <w:p>
            <w:pPr>
              <w:pStyle w:val="11"/>
              <w:rPr>
                <w:rFonts w:ascii="楷体"/>
                <w:sz w:val="20"/>
              </w:rPr>
            </w:pPr>
          </w:p>
          <w:p>
            <w:pPr>
              <w:pStyle w:val="11"/>
              <w:rPr>
                <w:rFonts w:ascii="楷体"/>
                <w:sz w:val="20"/>
              </w:rPr>
            </w:pPr>
          </w:p>
          <w:p>
            <w:pPr>
              <w:pStyle w:val="11"/>
              <w:rPr>
                <w:rFonts w:ascii="楷体"/>
                <w:sz w:val="20"/>
              </w:rPr>
            </w:pPr>
          </w:p>
          <w:p>
            <w:pPr>
              <w:pStyle w:val="11"/>
              <w:rPr>
                <w:rFonts w:ascii="楷体"/>
                <w:sz w:val="20"/>
              </w:rPr>
            </w:pPr>
          </w:p>
          <w:p>
            <w:pPr>
              <w:pStyle w:val="11"/>
              <w:spacing w:before="3"/>
              <w:rPr>
                <w:rFonts w:ascii="楷体"/>
                <w:sz w:val="16"/>
              </w:rPr>
            </w:pPr>
          </w:p>
          <w:p>
            <w:pPr>
              <w:pStyle w:val="11"/>
              <w:spacing w:line="266" w:lineRule="auto"/>
              <w:ind w:left="111" w:right="93"/>
              <w:jc w:val="both"/>
              <w:rPr>
                <w:sz w:val="21"/>
              </w:rPr>
            </w:pPr>
            <w:r>
              <w:rPr>
                <w:sz w:val="21"/>
              </w:rPr>
              <w:t>检查项目</w:t>
            </w:r>
          </w:p>
        </w:tc>
        <w:tc>
          <w:tcPr>
            <w:tcW w:w="1842" w:type="dxa"/>
          </w:tcPr>
          <w:p>
            <w:pPr>
              <w:pStyle w:val="11"/>
              <w:spacing w:before="30" w:line="250" w:lineRule="exact"/>
              <w:ind w:left="107"/>
              <w:rPr>
                <w:sz w:val="21"/>
              </w:rPr>
            </w:pPr>
            <w:r>
              <w:rPr>
                <w:sz w:val="21"/>
              </w:rPr>
              <w:t>血常规</w:t>
            </w:r>
          </w:p>
        </w:tc>
        <w:tc>
          <w:tcPr>
            <w:tcW w:w="6521" w:type="dxa"/>
          </w:tcPr>
          <w:p>
            <w:pPr>
              <w:pStyle w:val="11"/>
              <w:spacing w:before="30" w:line="250" w:lineRule="exact"/>
              <w:ind w:left="106"/>
              <w:rPr>
                <w:sz w:val="21"/>
              </w:rPr>
            </w:pPr>
            <w:r>
              <w:rPr>
                <w:sz w:val="21"/>
              </w:rPr>
              <w:t>提供居家上门采集样本，按照要求完成血细胞分析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29" w:line="251" w:lineRule="exact"/>
              <w:ind w:left="160"/>
              <w:rPr>
                <w:sz w:val="21"/>
              </w:rPr>
            </w:pPr>
            <w:r>
              <w:rPr>
                <w:w w:val="99"/>
                <w:sz w:val="21"/>
              </w:rPr>
              <w:t>9</w:t>
            </w:r>
          </w:p>
        </w:tc>
        <w:tc>
          <w:tcPr>
            <w:tcW w:w="426" w:type="dxa"/>
            <w:vMerge w:val="continue"/>
            <w:tcBorders>
              <w:top w:val="nil"/>
            </w:tcBorders>
          </w:tcPr>
          <w:p>
            <w:pPr>
              <w:rPr>
                <w:sz w:val="2"/>
                <w:szCs w:val="2"/>
              </w:rPr>
            </w:pPr>
          </w:p>
        </w:tc>
        <w:tc>
          <w:tcPr>
            <w:tcW w:w="1842" w:type="dxa"/>
          </w:tcPr>
          <w:p>
            <w:pPr>
              <w:pStyle w:val="11"/>
              <w:spacing w:before="29" w:line="251" w:lineRule="exact"/>
              <w:ind w:left="107"/>
              <w:rPr>
                <w:sz w:val="21"/>
              </w:rPr>
            </w:pPr>
            <w:r>
              <w:rPr>
                <w:sz w:val="21"/>
              </w:rPr>
              <w:t>尿常规</w:t>
            </w:r>
          </w:p>
        </w:tc>
        <w:tc>
          <w:tcPr>
            <w:tcW w:w="6521" w:type="dxa"/>
          </w:tcPr>
          <w:p>
            <w:pPr>
              <w:pStyle w:val="11"/>
              <w:spacing w:before="29" w:line="251" w:lineRule="exact"/>
              <w:ind w:left="106"/>
              <w:rPr>
                <w:sz w:val="21"/>
              </w:rPr>
            </w:pPr>
            <w:r>
              <w:rPr>
                <w:sz w:val="21"/>
              </w:rPr>
              <w:t>提供居家上门采集样本，按照要求完成尿液分析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29" w:line="251" w:lineRule="exact"/>
              <w:ind w:left="110"/>
              <w:rPr>
                <w:sz w:val="21"/>
              </w:rPr>
            </w:pPr>
            <w:r>
              <w:rPr>
                <w:sz w:val="21"/>
              </w:rPr>
              <w:t>10</w:t>
            </w:r>
          </w:p>
        </w:tc>
        <w:tc>
          <w:tcPr>
            <w:tcW w:w="426" w:type="dxa"/>
            <w:vMerge w:val="continue"/>
            <w:tcBorders>
              <w:top w:val="nil"/>
            </w:tcBorders>
          </w:tcPr>
          <w:p>
            <w:pPr>
              <w:rPr>
                <w:sz w:val="2"/>
                <w:szCs w:val="2"/>
              </w:rPr>
            </w:pPr>
          </w:p>
        </w:tc>
        <w:tc>
          <w:tcPr>
            <w:tcW w:w="1842" w:type="dxa"/>
          </w:tcPr>
          <w:p>
            <w:pPr>
              <w:pStyle w:val="11"/>
              <w:spacing w:before="29" w:line="251" w:lineRule="exact"/>
              <w:ind w:left="107"/>
              <w:rPr>
                <w:sz w:val="21"/>
              </w:rPr>
            </w:pPr>
            <w:r>
              <w:rPr>
                <w:sz w:val="21"/>
              </w:rPr>
              <w:t>粪常规</w:t>
            </w:r>
          </w:p>
        </w:tc>
        <w:tc>
          <w:tcPr>
            <w:tcW w:w="6521" w:type="dxa"/>
          </w:tcPr>
          <w:p>
            <w:pPr>
              <w:pStyle w:val="11"/>
              <w:spacing w:before="29" w:line="251" w:lineRule="exact"/>
              <w:ind w:left="106"/>
              <w:rPr>
                <w:sz w:val="21"/>
              </w:rPr>
            </w:pPr>
            <w:r>
              <w:rPr>
                <w:sz w:val="21"/>
              </w:rPr>
              <w:t>提供居家上门采集样本，按照要求完成粪便分析。含外观、镜检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1" w:line="249" w:lineRule="exact"/>
              <w:ind w:left="110"/>
              <w:rPr>
                <w:sz w:val="21"/>
              </w:rPr>
            </w:pPr>
            <w:r>
              <w:rPr>
                <w:sz w:val="21"/>
              </w:rPr>
              <w:t>11</w:t>
            </w:r>
          </w:p>
        </w:tc>
        <w:tc>
          <w:tcPr>
            <w:tcW w:w="426" w:type="dxa"/>
            <w:vMerge w:val="continue"/>
            <w:tcBorders>
              <w:top w:val="nil"/>
            </w:tcBorders>
          </w:tcPr>
          <w:p>
            <w:pPr>
              <w:rPr>
                <w:sz w:val="2"/>
                <w:szCs w:val="2"/>
              </w:rPr>
            </w:pPr>
          </w:p>
        </w:tc>
        <w:tc>
          <w:tcPr>
            <w:tcW w:w="1842" w:type="dxa"/>
          </w:tcPr>
          <w:p>
            <w:pPr>
              <w:pStyle w:val="11"/>
              <w:spacing w:before="31" w:line="249" w:lineRule="exact"/>
              <w:ind w:left="107"/>
              <w:rPr>
                <w:sz w:val="21"/>
              </w:rPr>
            </w:pPr>
            <w:r>
              <w:rPr>
                <w:sz w:val="21"/>
              </w:rPr>
              <w:t>心电图</w:t>
            </w:r>
          </w:p>
        </w:tc>
        <w:tc>
          <w:tcPr>
            <w:tcW w:w="6521" w:type="dxa"/>
          </w:tcPr>
          <w:p>
            <w:pPr>
              <w:pStyle w:val="11"/>
              <w:spacing w:before="31" w:line="249" w:lineRule="exact"/>
              <w:ind w:left="106"/>
              <w:rPr>
                <w:sz w:val="21"/>
              </w:rPr>
            </w:pPr>
            <w:r>
              <w:rPr>
                <w:sz w:val="21"/>
              </w:rPr>
              <w:t>提供居家上门心电图检查，含单通道、常规导联，包括三通道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49" w:lineRule="exact"/>
              <w:ind w:left="110"/>
              <w:rPr>
                <w:sz w:val="21"/>
              </w:rPr>
            </w:pPr>
            <w:r>
              <w:rPr>
                <w:sz w:val="21"/>
              </w:rPr>
              <w:t>12</w:t>
            </w:r>
          </w:p>
        </w:tc>
        <w:tc>
          <w:tcPr>
            <w:tcW w:w="426" w:type="dxa"/>
            <w:vMerge w:val="continue"/>
            <w:tcBorders>
              <w:top w:val="nil"/>
            </w:tcBorders>
          </w:tcPr>
          <w:p>
            <w:pPr>
              <w:rPr>
                <w:sz w:val="2"/>
                <w:szCs w:val="2"/>
              </w:rPr>
            </w:pPr>
          </w:p>
        </w:tc>
        <w:tc>
          <w:tcPr>
            <w:tcW w:w="1842" w:type="dxa"/>
          </w:tcPr>
          <w:p>
            <w:pPr>
              <w:pStyle w:val="11"/>
              <w:spacing w:before="30" w:line="249" w:lineRule="exact"/>
              <w:ind w:left="107"/>
              <w:rPr>
                <w:sz w:val="21"/>
              </w:rPr>
            </w:pPr>
            <w:r>
              <w:rPr>
                <w:sz w:val="21"/>
              </w:rPr>
              <w:t>B 超</w:t>
            </w:r>
          </w:p>
        </w:tc>
        <w:tc>
          <w:tcPr>
            <w:tcW w:w="6521" w:type="dxa"/>
          </w:tcPr>
          <w:p>
            <w:pPr>
              <w:pStyle w:val="11"/>
              <w:spacing w:before="30" w:line="249" w:lineRule="exact"/>
              <w:ind w:left="106"/>
              <w:rPr>
                <w:sz w:val="21"/>
              </w:rPr>
            </w:pPr>
            <w:r>
              <w:rPr>
                <w:sz w:val="21"/>
              </w:rPr>
              <w:t>提供携带机器居家上门B 超检查，对相应部位进行超声波检查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10"/>
              <w:rPr>
                <w:sz w:val="21"/>
              </w:rPr>
            </w:pPr>
            <w:r>
              <w:rPr>
                <w:sz w:val="21"/>
              </w:rPr>
              <w:t>13</w:t>
            </w:r>
          </w:p>
        </w:tc>
        <w:tc>
          <w:tcPr>
            <w:tcW w:w="426" w:type="dxa"/>
            <w:vMerge w:val="continue"/>
            <w:tcBorders>
              <w:top w:val="nil"/>
            </w:tcBorders>
          </w:tcPr>
          <w:p>
            <w:pPr>
              <w:rPr>
                <w:sz w:val="2"/>
                <w:szCs w:val="2"/>
              </w:rPr>
            </w:pPr>
          </w:p>
        </w:tc>
        <w:tc>
          <w:tcPr>
            <w:tcW w:w="1842" w:type="dxa"/>
          </w:tcPr>
          <w:p>
            <w:pPr>
              <w:pStyle w:val="11"/>
              <w:spacing w:before="30" w:line="250" w:lineRule="exact"/>
              <w:ind w:left="107"/>
              <w:rPr>
                <w:sz w:val="21"/>
              </w:rPr>
            </w:pPr>
            <w:r>
              <w:rPr>
                <w:sz w:val="21"/>
              </w:rPr>
              <w:t>血糖监测</w:t>
            </w:r>
          </w:p>
        </w:tc>
        <w:tc>
          <w:tcPr>
            <w:tcW w:w="6521" w:type="dxa"/>
          </w:tcPr>
          <w:p>
            <w:pPr>
              <w:pStyle w:val="11"/>
              <w:spacing w:before="30" w:line="250" w:lineRule="exact"/>
              <w:ind w:left="106"/>
              <w:rPr>
                <w:sz w:val="21"/>
              </w:rPr>
            </w:pPr>
            <w:r>
              <w:rPr>
                <w:sz w:val="21"/>
              </w:rPr>
              <w:t>末梢血糖采集；血糖知识指导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10"/>
              <w:rPr>
                <w:sz w:val="21"/>
              </w:rPr>
            </w:pPr>
            <w:r>
              <w:rPr>
                <w:sz w:val="21"/>
              </w:rPr>
              <w:t>14</w:t>
            </w:r>
          </w:p>
        </w:tc>
        <w:tc>
          <w:tcPr>
            <w:tcW w:w="426" w:type="dxa"/>
            <w:vMerge w:val="continue"/>
            <w:tcBorders>
              <w:top w:val="nil"/>
            </w:tcBorders>
          </w:tcPr>
          <w:p>
            <w:pPr>
              <w:rPr>
                <w:sz w:val="2"/>
                <w:szCs w:val="2"/>
              </w:rPr>
            </w:pPr>
          </w:p>
        </w:tc>
        <w:tc>
          <w:tcPr>
            <w:tcW w:w="1842" w:type="dxa"/>
          </w:tcPr>
          <w:p>
            <w:pPr>
              <w:pStyle w:val="11"/>
              <w:spacing w:before="30" w:line="250" w:lineRule="exact"/>
              <w:ind w:left="107"/>
              <w:rPr>
                <w:sz w:val="21"/>
              </w:rPr>
            </w:pPr>
            <w:r>
              <w:rPr>
                <w:sz w:val="21"/>
              </w:rPr>
              <w:t>肝动能</w:t>
            </w:r>
          </w:p>
        </w:tc>
        <w:tc>
          <w:tcPr>
            <w:tcW w:w="6521" w:type="dxa"/>
          </w:tcPr>
          <w:p>
            <w:pPr>
              <w:pStyle w:val="11"/>
              <w:spacing w:before="30" w:line="250" w:lineRule="exact"/>
              <w:ind w:left="106"/>
              <w:rPr>
                <w:sz w:val="21"/>
              </w:rPr>
            </w:pPr>
            <w:r>
              <w:rPr>
                <w:sz w:val="21"/>
              </w:rPr>
              <w:t>提供居家上门采集样本，医保目录中规定的项目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29" w:line="251" w:lineRule="exact"/>
              <w:ind w:left="110"/>
              <w:rPr>
                <w:sz w:val="21"/>
              </w:rPr>
            </w:pPr>
            <w:r>
              <w:rPr>
                <w:sz w:val="21"/>
              </w:rPr>
              <w:t>15</w:t>
            </w:r>
          </w:p>
        </w:tc>
        <w:tc>
          <w:tcPr>
            <w:tcW w:w="426" w:type="dxa"/>
            <w:vMerge w:val="continue"/>
            <w:tcBorders>
              <w:top w:val="nil"/>
            </w:tcBorders>
          </w:tcPr>
          <w:p>
            <w:pPr>
              <w:rPr>
                <w:sz w:val="2"/>
                <w:szCs w:val="2"/>
              </w:rPr>
            </w:pPr>
          </w:p>
        </w:tc>
        <w:tc>
          <w:tcPr>
            <w:tcW w:w="1842" w:type="dxa"/>
          </w:tcPr>
          <w:p>
            <w:pPr>
              <w:pStyle w:val="11"/>
              <w:spacing w:before="29" w:line="251" w:lineRule="exact"/>
              <w:ind w:left="107"/>
              <w:rPr>
                <w:sz w:val="21"/>
              </w:rPr>
            </w:pPr>
            <w:r>
              <w:rPr>
                <w:sz w:val="21"/>
              </w:rPr>
              <w:t>肾功能</w:t>
            </w:r>
          </w:p>
        </w:tc>
        <w:tc>
          <w:tcPr>
            <w:tcW w:w="6521" w:type="dxa"/>
          </w:tcPr>
          <w:p>
            <w:pPr>
              <w:pStyle w:val="11"/>
              <w:spacing w:before="29" w:line="251" w:lineRule="exact"/>
              <w:ind w:left="106"/>
              <w:rPr>
                <w:sz w:val="21"/>
              </w:rPr>
            </w:pPr>
            <w:r>
              <w:rPr>
                <w:sz w:val="21"/>
              </w:rPr>
              <w:t>提供居家上门采集样本，医保目录中规定的项目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426" w:type="dxa"/>
          </w:tcPr>
          <w:p>
            <w:pPr>
              <w:pStyle w:val="11"/>
              <w:spacing w:before="29" w:line="251" w:lineRule="exact"/>
              <w:ind w:left="110"/>
              <w:rPr>
                <w:sz w:val="21"/>
              </w:rPr>
            </w:pPr>
            <w:r>
              <w:rPr>
                <w:sz w:val="21"/>
              </w:rPr>
              <w:t>16</w:t>
            </w:r>
          </w:p>
        </w:tc>
        <w:tc>
          <w:tcPr>
            <w:tcW w:w="426" w:type="dxa"/>
            <w:vMerge w:val="continue"/>
            <w:tcBorders>
              <w:top w:val="nil"/>
            </w:tcBorders>
          </w:tcPr>
          <w:p>
            <w:pPr>
              <w:rPr>
                <w:sz w:val="2"/>
                <w:szCs w:val="2"/>
              </w:rPr>
            </w:pPr>
          </w:p>
        </w:tc>
        <w:tc>
          <w:tcPr>
            <w:tcW w:w="1842" w:type="dxa"/>
          </w:tcPr>
          <w:p>
            <w:pPr>
              <w:pStyle w:val="11"/>
              <w:spacing w:before="29" w:line="251" w:lineRule="exact"/>
              <w:ind w:left="107"/>
              <w:rPr>
                <w:sz w:val="21"/>
              </w:rPr>
            </w:pPr>
            <w:r>
              <w:rPr>
                <w:sz w:val="21"/>
              </w:rPr>
              <w:t>血脂</w:t>
            </w:r>
          </w:p>
        </w:tc>
        <w:tc>
          <w:tcPr>
            <w:tcW w:w="6521" w:type="dxa"/>
          </w:tcPr>
          <w:p>
            <w:pPr>
              <w:pStyle w:val="11"/>
              <w:spacing w:before="29" w:line="251" w:lineRule="exact"/>
              <w:ind w:left="106"/>
              <w:rPr>
                <w:sz w:val="21"/>
              </w:rPr>
            </w:pPr>
            <w:r>
              <w:rPr>
                <w:sz w:val="21"/>
              </w:rPr>
              <w:t>提供居家上门采集样本，医保目录中规定的项目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1" w:line="249" w:lineRule="exact"/>
              <w:ind w:left="110"/>
              <w:rPr>
                <w:sz w:val="21"/>
              </w:rPr>
            </w:pPr>
            <w:r>
              <w:rPr>
                <w:sz w:val="21"/>
              </w:rPr>
              <w:t>17</w:t>
            </w:r>
          </w:p>
        </w:tc>
        <w:tc>
          <w:tcPr>
            <w:tcW w:w="426" w:type="dxa"/>
            <w:vMerge w:val="continue"/>
            <w:tcBorders>
              <w:top w:val="nil"/>
            </w:tcBorders>
          </w:tcPr>
          <w:p>
            <w:pPr>
              <w:rPr>
                <w:sz w:val="2"/>
                <w:szCs w:val="2"/>
              </w:rPr>
            </w:pPr>
          </w:p>
        </w:tc>
        <w:tc>
          <w:tcPr>
            <w:tcW w:w="1842" w:type="dxa"/>
          </w:tcPr>
          <w:p>
            <w:pPr>
              <w:pStyle w:val="11"/>
              <w:spacing w:before="31" w:line="249" w:lineRule="exact"/>
              <w:ind w:left="107"/>
              <w:rPr>
                <w:sz w:val="21"/>
              </w:rPr>
            </w:pPr>
            <w:r>
              <w:rPr>
                <w:sz w:val="21"/>
              </w:rPr>
              <w:t>电解质</w:t>
            </w:r>
          </w:p>
        </w:tc>
        <w:tc>
          <w:tcPr>
            <w:tcW w:w="6521" w:type="dxa"/>
          </w:tcPr>
          <w:p>
            <w:pPr>
              <w:pStyle w:val="11"/>
              <w:spacing w:before="31" w:line="249" w:lineRule="exact"/>
              <w:ind w:left="106"/>
              <w:rPr>
                <w:sz w:val="21"/>
              </w:rPr>
            </w:pPr>
            <w:r>
              <w:rPr>
                <w:sz w:val="21"/>
              </w:rPr>
              <w:t>提供居家上门采集样本，医保目录中规定的项目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49" w:lineRule="exact"/>
              <w:ind w:left="110"/>
              <w:rPr>
                <w:sz w:val="21"/>
              </w:rPr>
            </w:pPr>
            <w:r>
              <w:rPr>
                <w:sz w:val="21"/>
              </w:rPr>
              <w:t>18</w:t>
            </w:r>
          </w:p>
        </w:tc>
        <w:tc>
          <w:tcPr>
            <w:tcW w:w="426" w:type="dxa"/>
            <w:vMerge w:val="continue"/>
            <w:tcBorders>
              <w:top w:val="nil"/>
            </w:tcBorders>
          </w:tcPr>
          <w:p>
            <w:pPr>
              <w:rPr>
                <w:sz w:val="2"/>
                <w:szCs w:val="2"/>
              </w:rPr>
            </w:pPr>
          </w:p>
        </w:tc>
        <w:tc>
          <w:tcPr>
            <w:tcW w:w="1842" w:type="dxa"/>
          </w:tcPr>
          <w:p>
            <w:pPr>
              <w:pStyle w:val="11"/>
              <w:spacing w:before="30" w:line="249" w:lineRule="exact"/>
              <w:ind w:left="107"/>
              <w:rPr>
                <w:sz w:val="21"/>
              </w:rPr>
            </w:pPr>
            <w:r>
              <w:rPr>
                <w:sz w:val="21"/>
              </w:rPr>
              <w:t>其他化验项目</w:t>
            </w:r>
          </w:p>
        </w:tc>
        <w:tc>
          <w:tcPr>
            <w:tcW w:w="6521" w:type="dxa"/>
          </w:tcPr>
          <w:p>
            <w:pPr>
              <w:pStyle w:val="11"/>
              <w:spacing w:before="30" w:line="249" w:lineRule="exact"/>
              <w:ind w:left="106"/>
              <w:rPr>
                <w:sz w:val="21"/>
              </w:rPr>
            </w:pPr>
            <w:r>
              <w:rPr>
                <w:sz w:val="21"/>
              </w:rPr>
              <w:t>适宜于在家中开展的医保目录中规定的其他化验项目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10"/>
              <w:rPr>
                <w:sz w:val="21"/>
              </w:rPr>
            </w:pPr>
            <w:r>
              <w:rPr>
                <w:sz w:val="21"/>
              </w:rPr>
              <w:t>19</w:t>
            </w:r>
          </w:p>
        </w:tc>
        <w:tc>
          <w:tcPr>
            <w:tcW w:w="426" w:type="dxa"/>
            <w:vMerge w:val="continue"/>
            <w:tcBorders>
              <w:top w:val="nil"/>
            </w:tcBorders>
          </w:tcPr>
          <w:p>
            <w:pPr>
              <w:rPr>
                <w:sz w:val="2"/>
                <w:szCs w:val="2"/>
              </w:rPr>
            </w:pPr>
          </w:p>
        </w:tc>
        <w:tc>
          <w:tcPr>
            <w:tcW w:w="1842" w:type="dxa"/>
          </w:tcPr>
          <w:p>
            <w:pPr>
              <w:pStyle w:val="11"/>
              <w:spacing w:before="30" w:line="250" w:lineRule="exact"/>
              <w:ind w:left="107"/>
              <w:rPr>
                <w:sz w:val="21"/>
              </w:rPr>
            </w:pPr>
            <w:r>
              <w:rPr>
                <w:sz w:val="21"/>
              </w:rPr>
              <w:t>中段尿采集</w:t>
            </w:r>
          </w:p>
        </w:tc>
        <w:tc>
          <w:tcPr>
            <w:tcW w:w="6521" w:type="dxa"/>
          </w:tcPr>
          <w:p>
            <w:pPr>
              <w:pStyle w:val="11"/>
              <w:spacing w:before="30" w:line="250" w:lineRule="exact"/>
              <w:ind w:left="106"/>
              <w:rPr>
                <w:sz w:val="21"/>
              </w:rPr>
            </w:pPr>
            <w:r>
              <w:rPr>
                <w:sz w:val="21"/>
              </w:rPr>
              <w:t>消毒；中段尿标本的采集方法指导与留取；标本运送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50" w:lineRule="exact"/>
              <w:ind w:left="110"/>
              <w:rPr>
                <w:sz w:val="21"/>
              </w:rPr>
            </w:pPr>
            <w:r>
              <w:rPr>
                <w:sz w:val="21"/>
              </w:rPr>
              <w:t>20</w:t>
            </w:r>
          </w:p>
        </w:tc>
        <w:tc>
          <w:tcPr>
            <w:tcW w:w="426" w:type="dxa"/>
            <w:vMerge w:val="continue"/>
            <w:tcBorders>
              <w:top w:val="nil"/>
            </w:tcBorders>
          </w:tcPr>
          <w:p>
            <w:pPr>
              <w:rPr>
                <w:sz w:val="2"/>
                <w:szCs w:val="2"/>
              </w:rPr>
            </w:pPr>
          </w:p>
        </w:tc>
        <w:tc>
          <w:tcPr>
            <w:tcW w:w="1842" w:type="dxa"/>
          </w:tcPr>
          <w:p>
            <w:pPr>
              <w:pStyle w:val="11"/>
              <w:spacing w:before="30" w:line="250" w:lineRule="exact"/>
              <w:ind w:left="107"/>
              <w:rPr>
                <w:sz w:val="21"/>
              </w:rPr>
            </w:pPr>
            <w:r>
              <w:rPr>
                <w:sz w:val="21"/>
              </w:rPr>
              <w:t>普通标本采集</w:t>
            </w:r>
          </w:p>
        </w:tc>
        <w:tc>
          <w:tcPr>
            <w:tcW w:w="6521" w:type="dxa"/>
          </w:tcPr>
          <w:p>
            <w:pPr>
              <w:pStyle w:val="11"/>
              <w:spacing w:before="30" w:line="250" w:lineRule="exact"/>
              <w:ind w:left="106"/>
              <w:rPr>
                <w:sz w:val="21"/>
              </w:rPr>
            </w:pPr>
            <w:r>
              <w:rPr>
                <w:sz w:val="21"/>
              </w:rPr>
              <w:t>常规尿标本、痰标本、粪便标本等的采集方法指导与留取；标本运送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
              <w:rPr>
                <w:rFonts w:ascii="楷体"/>
                <w:sz w:val="14"/>
              </w:rPr>
            </w:pPr>
          </w:p>
          <w:p>
            <w:pPr>
              <w:pStyle w:val="11"/>
              <w:ind w:left="110"/>
              <w:rPr>
                <w:sz w:val="21"/>
              </w:rPr>
            </w:pPr>
            <w:r>
              <w:rPr>
                <w:sz w:val="21"/>
              </w:rPr>
              <w:t>21</w:t>
            </w:r>
          </w:p>
        </w:tc>
        <w:tc>
          <w:tcPr>
            <w:tcW w:w="426" w:type="dxa"/>
            <w:vMerge w:val="continue"/>
            <w:tcBorders>
              <w:top w:val="nil"/>
            </w:tcBorders>
          </w:tcPr>
          <w:p>
            <w:pPr>
              <w:rPr>
                <w:sz w:val="2"/>
                <w:szCs w:val="2"/>
              </w:rPr>
            </w:pPr>
          </w:p>
        </w:tc>
        <w:tc>
          <w:tcPr>
            <w:tcW w:w="1842" w:type="dxa"/>
          </w:tcPr>
          <w:p>
            <w:pPr>
              <w:pStyle w:val="11"/>
              <w:spacing w:before="1"/>
              <w:rPr>
                <w:rFonts w:ascii="楷体"/>
                <w:sz w:val="14"/>
              </w:rPr>
            </w:pPr>
          </w:p>
          <w:p>
            <w:pPr>
              <w:pStyle w:val="11"/>
              <w:ind w:left="107"/>
              <w:rPr>
                <w:sz w:val="21"/>
              </w:rPr>
            </w:pPr>
            <w:r>
              <w:rPr>
                <w:sz w:val="21"/>
              </w:rPr>
              <w:t>静脉血采集</w:t>
            </w:r>
          </w:p>
        </w:tc>
        <w:tc>
          <w:tcPr>
            <w:tcW w:w="6521" w:type="dxa"/>
          </w:tcPr>
          <w:p>
            <w:pPr>
              <w:pStyle w:val="11"/>
              <w:spacing w:before="29"/>
              <w:ind w:left="106"/>
              <w:rPr>
                <w:sz w:val="21"/>
              </w:rPr>
            </w:pPr>
            <w:r>
              <w:rPr>
                <w:spacing w:val="-9"/>
                <w:sz w:val="21"/>
              </w:rPr>
              <w:t>评估采血部位及血管情况；消毒、采集；采血后注意事项指导；标本运</w:t>
            </w:r>
          </w:p>
          <w:p>
            <w:pPr>
              <w:pStyle w:val="11"/>
              <w:spacing w:before="31" w:line="251" w:lineRule="exact"/>
              <w:ind w:left="106"/>
              <w:rPr>
                <w:sz w:val="21"/>
              </w:rPr>
            </w:pPr>
            <w:r>
              <w:rPr>
                <w:w w:val="99"/>
                <w:sz w:val="21"/>
              </w:rPr>
              <w:t>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rPr>
                <w:rFonts w:ascii="楷体"/>
                <w:sz w:val="14"/>
              </w:rPr>
            </w:pPr>
          </w:p>
          <w:p>
            <w:pPr>
              <w:pStyle w:val="11"/>
              <w:spacing w:before="1"/>
              <w:ind w:left="110"/>
              <w:rPr>
                <w:sz w:val="21"/>
              </w:rPr>
            </w:pPr>
            <w:r>
              <w:rPr>
                <w:sz w:val="21"/>
              </w:rPr>
              <w:t>22</w:t>
            </w:r>
          </w:p>
        </w:tc>
        <w:tc>
          <w:tcPr>
            <w:tcW w:w="426" w:type="dxa"/>
            <w:vMerge w:val="restart"/>
          </w:tcPr>
          <w:p>
            <w:pPr>
              <w:pStyle w:val="11"/>
              <w:spacing w:before="2"/>
              <w:rPr>
                <w:rFonts w:ascii="楷体"/>
                <w:sz w:val="15"/>
              </w:rPr>
            </w:pPr>
          </w:p>
          <w:p>
            <w:pPr>
              <w:pStyle w:val="11"/>
              <w:spacing w:line="266" w:lineRule="auto"/>
              <w:ind w:left="111" w:right="93"/>
              <w:jc w:val="both"/>
              <w:rPr>
                <w:sz w:val="21"/>
              </w:rPr>
            </w:pPr>
            <w:r>
              <w:rPr>
                <w:sz w:val="21"/>
              </w:rPr>
              <w:t>基础护理项目</w:t>
            </w:r>
          </w:p>
        </w:tc>
        <w:tc>
          <w:tcPr>
            <w:tcW w:w="1842" w:type="dxa"/>
          </w:tcPr>
          <w:p>
            <w:pPr>
              <w:pStyle w:val="11"/>
              <w:rPr>
                <w:rFonts w:ascii="楷体"/>
                <w:sz w:val="14"/>
              </w:rPr>
            </w:pPr>
          </w:p>
          <w:p>
            <w:pPr>
              <w:pStyle w:val="11"/>
              <w:spacing w:before="1"/>
              <w:ind w:left="107"/>
              <w:rPr>
                <w:sz w:val="21"/>
              </w:rPr>
            </w:pPr>
            <w:r>
              <w:rPr>
                <w:sz w:val="21"/>
              </w:rPr>
              <w:t>肌肉注射</w:t>
            </w:r>
          </w:p>
        </w:tc>
        <w:tc>
          <w:tcPr>
            <w:tcW w:w="6521" w:type="dxa"/>
          </w:tcPr>
          <w:p>
            <w:pPr>
              <w:pStyle w:val="11"/>
              <w:spacing w:before="29"/>
              <w:ind w:left="106"/>
              <w:rPr>
                <w:sz w:val="21"/>
              </w:rPr>
            </w:pPr>
            <w:r>
              <w:rPr>
                <w:spacing w:val="-8"/>
                <w:sz w:val="21"/>
              </w:rPr>
              <w:t>评估注射药物种类、注射部位、患者过敏史等；根据患者具体情况选择</w:t>
            </w:r>
          </w:p>
          <w:p>
            <w:pPr>
              <w:pStyle w:val="11"/>
              <w:spacing w:before="31" w:line="251" w:lineRule="exact"/>
              <w:ind w:left="106"/>
              <w:rPr>
                <w:sz w:val="21"/>
              </w:rPr>
            </w:pPr>
            <w:r>
              <w:rPr>
                <w:sz w:val="21"/>
              </w:rPr>
              <w:t>合适的注射部位；注射操作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80"/>
              <w:ind w:left="110"/>
              <w:rPr>
                <w:sz w:val="21"/>
              </w:rPr>
            </w:pPr>
            <w:r>
              <w:rPr>
                <w:sz w:val="21"/>
              </w:rPr>
              <w:t>23</w:t>
            </w:r>
          </w:p>
        </w:tc>
        <w:tc>
          <w:tcPr>
            <w:tcW w:w="426" w:type="dxa"/>
            <w:vMerge w:val="continue"/>
            <w:tcBorders>
              <w:top w:val="nil"/>
            </w:tcBorders>
          </w:tcPr>
          <w:p>
            <w:pPr>
              <w:rPr>
                <w:sz w:val="2"/>
                <w:szCs w:val="2"/>
              </w:rPr>
            </w:pPr>
          </w:p>
        </w:tc>
        <w:tc>
          <w:tcPr>
            <w:tcW w:w="1842" w:type="dxa"/>
          </w:tcPr>
          <w:p>
            <w:pPr>
              <w:pStyle w:val="11"/>
              <w:spacing w:before="180"/>
              <w:ind w:left="107"/>
              <w:rPr>
                <w:sz w:val="21"/>
              </w:rPr>
            </w:pPr>
            <w:r>
              <w:rPr>
                <w:sz w:val="21"/>
              </w:rPr>
              <w:t>皮下注射</w:t>
            </w:r>
          </w:p>
        </w:tc>
        <w:tc>
          <w:tcPr>
            <w:tcW w:w="6521" w:type="dxa"/>
          </w:tcPr>
          <w:p>
            <w:pPr>
              <w:pStyle w:val="11"/>
              <w:spacing w:line="300" w:lineRule="atLeast"/>
              <w:ind w:left="106" w:right="92"/>
              <w:rPr>
                <w:sz w:val="21"/>
              </w:rPr>
            </w:pPr>
            <w:r>
              <w:rPr>
                <w:spacing w:val="-9"/>
                <w:w w:val="95"/>
                <w:sz w:val="21"/>
              </w:rPr>
              <w:t xml:space="preserve">评估注射药物种类、注射部位、患者过敏史等；根据患者具体情况选择  </w:t>
            </w:r>
            <w:r>
              <w:rPr>
                <w:spacing w:val="-5"/>
                <w:sz w:val="21"/>
              </w:rPr>
              <w:t>合适的注射部位；注射操作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79"/>
              <w:ind w:left="110"/>
              <w:rPr>
                <w:sz w:val="21"/>
              </w:rPr>
            </w:pPr>
            <w:r>
              <w:rPr>
                <w:sz w:val="21"/>
              </w:rPr>
              <w:t>24</w:t>
            </w:r>
          </w:p>
        </w:tc>
        <w:tc>
          <w:tcPr>
            <w:tcW w:w="426" w:type="dxa"/>
            <w:vMerge w:val="continue"/>
            <w:tcBorders>
              <w:top w:val="nil"/>
            </w:tcBorders>
          </w:tcPr>
          <w:p>
            <w:pPr>
              <w:rPr>
                <w:sz w:val="2"/>
                <w:szCs w:val="2"/>
              </w:rPr>
            </w:pPr>
          </w:p>
        </w:tc>
        <w:tc>
          <w:tcPr>
            <w:tcW w:w="1842" w:type="dxa"/>
          </w:tcPr>
          <w:p>
            <w:pPr>
              <w:pStyle w:val="11"/>
              <w:spacing w:before="179"/>
              <w:ind w:left="107"/>
              <w:rPr>
                <w:sz w:val="21"/>
              </w:rPr>
            </w:pPr>
            <w:r>
              <w:rPr>
                <w:sz w:val="21"/>
              </w:rPr>
              <w:t>压力性损伤护理</w:t>
            </w:r>
          </w:p>
        </w:tc>
        <w:tc>
          <w:tcPr>
            <w:tcW w:w="6521" w:type="dxa"/>
          </w:tcPr>
          <w:p>
            <w:pPr>
              <w:pStyle w:val="11"/>
              <w:spacing w:line="300" w:lineRule="exact"/>
              <w:ind w:left="106" w:right="-15"/>
              <w:rPr>
                <w:sz w:val="21"/>
              </w:rPr>
            </w:pPr>
            <w:r>
              <w:rPr>
                <w:spacing w:val="-14"/>
                <w:w w:val="95"/>
                <w:sz w:val="21"/>
              </w:rPr>
              <w:t xml:space="preserve">压力性损伤发生可能性评估；压力性损伤发生预防知识指导；采取翻身、  </w:t>
            </w:r>
            <w:r>
              <w:rPr>
                <w:spacing w:val="-5"/>
                <w:sz w:val="21"/>
              </w:rPr>
              <w:t>皮肤清洁等预防措施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426" w:type="dxa"/>
          </w:tcPr>
          <w:p>
            <w:pPr>
              <w:pStyle w:val="11"/>
              <w:spacing w:before="30" w:line="248" w:lineRule="exact"/>
              <w:ind w:left="110"/>
              <w:rPr>
                <w:sz w:val="21"/>
              </w:rPr>
            </w:pPr>
            <w:r>
              <w:rPr>
                <w:sz w:val="21"/>
              </w:rPr>
              <w:t>25</w:t>
            </w:r>
          </w:p>
        </w:tc>
        <w:tc>
          <w:tcPr>
            <w:tcW w:w="426" w:type="dxa"/>
            <w:vMerge w:val="continue"/>
            <w:tcBorders>
              <w:top w:val="nil"/>
            </w:tcBorders>
          </w:tcPr>
          <w:p>
            <w:pPr>
              <w:rPr>
                <w:sz w:val="2"/>
                <w:szCs w:val="2"/>
              </w:rPr>
            </w:pPr>
          </w:p>
        </w:tc>
        <w:tc>
          <w:tcPr>
            <w:tcW w:w="1842" w:type="dxa"/>
          </w:tcPr>
          <w:p>
            <w:pPr>
              <w:pStyle w:val="11"/>
              <w:spacing w:before="30" w:line="248" w:lineRule="exact"/>
              <w:ind w:left="107"/>
              <w:rPr>
                <w:sz w:val="21"/>
              </w:rPr>
            </w:pPr>
            <w:r>
              <w:rPr>
                <w:sz w:val="21"/>
              </w:rPr>
              <w:t>吸氧</w:t>
            </w:r>
          </w:p>
        </w:tc>
        <w:tc>
          <w:tcPr>
            <w:tcW w:w="6521" w:type="dxa"/>
          </w:tcPr>
          <w:p>
            <w:pPr>
              <w:pStyle w:val="11"/>
              <w:spacing w:before="30" w:line="248" w:lineRule="exact"/>
              <w:ind w:left="106"/>
              <w:rPr>
                <w:sz w:val="21"/>
              </w:rPr>
            </w:pPr>
            <w:r>
              <w:rPr>
                <w:sz w:val="21"/>
              </w:rPr>
              <w:t>评估环境、缺氧状况及鼻腔等；吸氧方法指导</w:t>
            </w:r>
          </w:p>
        </w:tc>
      </w:tr>
    </w:tbl>
    <w:p>
      <w:pPr>
        <w:spacing w:after="0" w:line="248" w:lineRule="exact"/>
        <w:rPr>
          <w:sz w:val="21"/>
        </w:rPr>
        <w:sectPr>
          <w:type w:val="continuous"/>
          <w:pgSz w:w="11910" w:h="16840"/>
          <w:pgMar w:top="1520" w:right="780" w:bottom="280" w:left="880" w:header="720" w:footer="720" w:gutter="0"/>
          <w:pgNumType w:fmt="decimal"/>
          <w:cols w:space="720" w:num="1"/>
        </w:sectPr>
      </w:pPr>
    </w:p>
    <w:p>
      <w:pPr>
        <w:pStyle w:val="4"/>
        <w:rPr>
          <w:rFonts w:ascii="Times New Roman"/>
          <w:sz w:val="20"/>
        </w:rPr>
      </w:pPr>
    </w:p>
    <w:p>
      <w:pPr>
        <w:pStyle w:val="4"/>
        <w:spacing w:before="6"/>
        <w:rPr>
          <w:rFonts w:ascii="Times New Roman"/>
          <w:sz w:val="18"/>
        </w:rPr>
      </w:pPr>
    </w:p>
    <w:tbl>
      <w:tblPr>
        <w:tblStyle w:val="7"/>
        <w:tblW w:w="0" w:type="auto"/>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
        <w:gridCol w:w="426"/>
        <w:gridCol w:w="1842"/>
        <w:gridCol w:w="6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426" w:type="dxa"/>
          </w:tcPr>
          <w:p>
            <w:pPr>
              <w:pStyle w:val="11"/>
              <w:spacing w:line="300" w:lineRule="exact"/>
              <w:ind w:left="110" w:right="94"/>
              <w:rPr>
                <w:rFonts w:hint="eastAsia" w:ascii="黑体" w:eastAsia="黑体"/>
                <w:sz w:val="21"/>
              </w:rPr>
            </w:pPr>
            <w:r>
              <w:rPr>
                <w:rFonts w:hint="eastAsia" w:ascii="黑体" w:eastAsia="黑体"/>
                <w:sz w:val="21"/>
              </w:rPr>
              <w:t>序号</w:t>
            </w:r>
          </w:p>
        </w:tc>
        <w:tc>
          <w:tcPr>
            <w:tcW w:w="426" w:type="dxa"/>
          </w:tcPr>
          <w:p>
            <w:pPr>
              <w:pStyle w:val="11"/>
              <w:spacing w:line="300" w:lineRule="exact"/>
              <w:ind w:left="111" w:right="93"/>
              <w:rPr>
                <w:rFonts w:hint="eastAsia" w:ascii="黑体" w:eastAsia="黑体"/>
                <w:sz w:val="21"/>
              </w:rPr>
            </w:pPr>
            <w:r>
              <w:rPr>
                <w:rFonts w:hint="eastAsia" w:ascii="黑体" w:eastAsia="黑体"/>
                <w:sz w:val="21"/>
              </w:rPr>
              <w:t>类别</w:t>
            </w:r>
          </w:p>
        </w:tc>
        <w:tc>
          <w:tcPr>
            <w:tcW w:w="1842" w:type="dxa"/>
          </w:tcPr>
          <w:p>
            <w:pPr>
              <w:pStyle w:val="11"/>
              <w:spacing w:before="8"/>
              <w:rPr>
                <w:rFonts w:ascii="Times New Roman"/>
                <w:sz w:val="15"/>
              </w:rPr>
            </w:pPr>
          </w:p>
          <w:p>
            <w:pPr>
              <w:pStyle w:val="11"/>
              <w:ind w:left="513"/>
              <w:rPr>
                <w:rFonts w:hint="eastAsia" w:ascii="黑体" w:hAnsi="黑体" w:eastAsia="黑体"/>
                <w:sz w:val="21"/>
              </w:rPr>
            </w:pPr>
            <w:r>
              <w:rPr>
                <w:rFonts w:hint="eastAsia" w:ascii="黑体" w:hAnsi="黑体" w:eastAsia="黑体"/>
                <w:sz w:val="21"/>
              </w:rPr>
              <w:t>Ⅰ级项目</w:t>
            </w:r>
          </w:p>
        </w:tc>
        <w:tc>
          <w:tcPr>
            <w:tcW w:w="6521" w:type="dxa"/>
          </w:tcPr>
          <w:p>
            <w:pPr>
              <w:pStyle w:val="11"/>
              <w:spacing w:before="8"/>
              <w:rPr>
                <w:rFonts w:ascii="Times New Roman"/>
                <w:sz w:val="15"/>
              </w:rPr>
            </w:pPr>
          </w:p>
          <w:p>
            <w:pPr>
              <w:pStyle w:val="11"/>
              <w:ind w:left="110" w:right="96"/>
              <w:jc w:val="center"/>
              <w:rPr>
                <w:rFonts w:hint="eastAsia" w:ascii="黑体" w:eastAsia="黑体"/>
                <w:sz w:val="21"/>
              </w:rPr>
            </w:pPr>
            <w:r>
              <w:rPr>
                <w:rFonts w:hint="eastAsia" w:ascii="黑体" w:eastAsia="黑体"/>
                <w:sz w:val="21"/>
              </w:rPr>
              <w:t>项目内容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29" w:line="251" w:lineRule="exact"/>
              <w:ind w:left="89" w:right="77"/>
              <w:jc w:val="center"/>
              <w:rPr>
                <w:sz w:val="21"/>
              </w:rPr>
            </w:pPr>
            <w:r>
              <w:rPr>
                <w:sz w:val="21"/>
              </w:rPr>
              <w:t>26</w:t>
            </w:r>
          </w:p>
        </w:tc>
        <w:tc>
          <w:tcPr>
            <w:tcW w:w="426" w:type="dxa"/>
            <w:vMerge w:val="restart"/>
          </w:tcPr>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spacing w:before="6"/>
              <w:rPr>
                <w:rFonts w:ascii="Times New Roman"/>
                <w:sz w:val="23"/>
              </w:rPr>
            </w:pPr>
          </w:p>
          <w:p>
            <w:pPr>
              <w:pStyle w:val="11"/>
              <w:spacing w:line="266" w:lineRule="auto"/>
              <w:ind w:left="111" w:right="93"/>
              <w:jc w:val="both"/>
              <w:rPr>
                <w:sz w:val="21"/>
              </w:rPr>
            </w:pPr>
            <w:r>
              <w:rPr>
                <w:sz w:val="21"/>
              </w:rPr>
              <w:t>基础护理项目</w:t>
            </w:r>
          </w:p>
        </w:tc>
        <w:tc>
          <w:tcPr>
            <w:tcW w:w="1842" w:type="dxa"/>
          </w:tcPr>
          <w:p>
            <w:pPr>
              <w:pStyle w:val="11"/>
              <w:spacing w:before="29" w:line="251" w:lineRule="exact"/>
              <w:ind w:left="107"/>
              <w:rPr>
                <w:sz w:val="21"/>
              </w:rPr>
            </w:pPr>
            <w:r>
              <w:rPr>
                <w:sz w:val="21"/>
              </w:rPr>
              <w:t>雾化吸入</w:t>
            </w:r>
          </w:p>
        </w:tc>
        <w:tc>
          <w:tcPr>
            <w:tcW w:w="6521" w:type="dxa"/>
          </w:tcPr>
          <w:p>
            <w:pPr>
              <w:pStyle w:val="11"/>
              <w:spacing w:before="29" w:line="251" w:lineRule="exact"/>
              <w:ind w:left="106"/>
              <w:rPr>
                <w:sz w:val="21"/>
              </w:rPr>
            </w:pPr>
            <w:r>
              <w:rPr>
                <w:sz w:val="21"/>
              </w:rPr>
              <w:t>雾化器的选择；雾化吸入操作；病情观察；雾化后的清洁指导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7"/>
              <w:rPr>
                <w:rFonts w:ascii="Times New Roman"/>
                <w:sz w:val="15"/>
              </w:rPr>
            </w:pPr>
          </w:p>
          <w:p>
            <w:pPr>
              <w:pStyle w:val="11"/>
              <w:ind w:left="89" w:right="77"/>
              <w:jc w:val="center"/>
              <w:rPr>
                <w:sz w:val="21"/>
              </w:rPr>
            </w:pPr>
            <w:r>
              <w:rPr>
                <w:sz w:val="21"/>
              </w:rPr>
              <w:t>27</w:t>
            </w:r>
          </w:p>
        </w:tc>
        <w:tc>
          <w:tcPr>
            <w:tcW w:w="426" w:type="dxa"/>
            <w:vMerge w:val="continue"/>
            <w:tcBorders>
              <w:top w:val="nil"/>
            </w:tcBorders>
          </w:tcPr>
          <w:p>
            <w:pPr>
              <w:rPr>
                <w:sz w:val="2"/>
                <w:szCs w:val="2"/>
              </w:rPr>
            </w:pPr>
          </w:p>
        </w:tc>
        <w:tc>
          <w:tcPr>
            <w:tcW w:w="1842" w:type="dxa"/>
          </w:tcPr>
          <w:p>
            <w:pPr>
              <w:pStyle w:val="11"/>
              <w:spacing w:before="7"/>
              <w:rPr>
                <w:rFonts w:ascii="Times New Roman"/>
                <w:sz w:val="15"/>
              </w:rPr>
            </w:pPr>
          </w:p>
          <w:p>
            <w:pPr>
              <w:pStyle w:val="11"/>
              <w:ind w:left="107"/>
              <w:rPr>
                <w:sz w:val="21"/>
              </w:rPr>
            </w:pPr>
            <w:r>
              <w:rPr>
                <w:sz w:val="21"/>
              </w:rPr>
              <w:t>静脉输液</w:t>
            </w:r>
          </w:p>
        </w:tc>
        <w:tc>
          <w:tcPr>
            <w:tcW w:w="6521" w:type="dxa"/>
          </w:tcPr>
          <w:p>
            <w:pPr>
              <w:pStyle w:val="11"/>
              <w:spacing w:before="29"/>
              <w:ind w:left="106"/>
              <w:rPr>
                <w:sz w:val="21"/>
              </w:rPr>
            </w:pPr>
            <w:r>
              <w:rPr>
                <w:spacing w:val="-8"/>
                <w:sz w:val="21"/>
              </w:rPr>
              <w:t>评估静脉输液药物种类、注射部位、患者过敏史等；根据患者具体情况</w:t>
            </w:r>
          </w:p>
          <w:p>
            <w:pPr>
              <w:pStyle w:val="11"/>
              <w:spacing w:before="31" w:line="251" w:lineRule="exact"/>
              <w:ind w:left="106"/>
              <w:rPr>
                <w:sz w:val="21"/>
              </w:rPr>
            </w:pPr>
            <w:r>
              <w:rPr>
                <w:sz w:val="21"/>
              </w:rPr>
              <w:t>选择合适的输液部位；输液操作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80"/>
              <w:ind w:left="89" w:right="77"/>
              <w:jc w:val="center"/>
              <w:rPr>
                <w:sz w:val="21"/>
              </w:rPr>
            </w:pPr>
            <w:r>
              <w:rPr>
                <w:sz w:val="21"/>
              </w:rPr>
              <w:t>28</w:t>
            </w:r>
          </w:p>
        </w:tc>
        <w:tc>
          <w:tcPr>
            <w:tcW w:w="426" w:type="dxa"/>
            <w:vMerge w:val="continue"/>
            <w:tcBorders>
              <w:top w:val="nil"/>
            </w:tcBorders>
          </w:tcPr>
          <w:p>
            <w:pPr>
              <w:rPr>
                <w:sz w:val="2"/>
                <w:szCs w:val="2"/>
              </w:rPr>
            </w:pPr>
          </w:p>
        </w:tc>
        <w:tc>
          <w:tcPr>
            <w:tcW w:w="1842" w:type="dxa"/>
          </w:tcPr>
          <w:p>
            <w:pPr>
              <w:pStyle w:val="11"/>
              <w:spacing w:before="180"/>
              <w:ind w:left="107"/>
              <w:rPr>
                <w:sz w:val="21"/>
              </w:rPr>
            </w:pPr>
            <w:r>
              <w:rPr>
                <w:sz w:val="21"/>
              </w:rPr>
              <w:t>静脉注射</w:t>
            </w:r>
          </w:p>
        </w:tc>
        <w:tc>
          <w:tcPr>
            <w:tcW w:w="6521" w:type="dxa"/>
          </w:tcPr>
          <w:p>
            <w:pPr>
              <w:pStyle w:val="11"/>
              <w:spacing w:line="300" w:lineRule="atLeast"/>
              <w:ind w:left="106" w:right="92"/>
              <w:rPr>
                <w:sz w:val="21"/>
              </w:rPr>
            </w:pPr>
            <w:r>
              <w:rPr>
                <w:spacing w:val="-9"/>
                <w:w w:val="95"/>
                <w:sz w:val="21"/>
              </w:rPr>
              <w:t xml:space="preserve">评估静脉注射药物种类、注射部位、患者过敏史等；根据患者具体情况  </w:t>
            </w:r>
            <w:r>
              <w:rPr>
                <w:spacing w:val="-5"/>
                <w:sz w:val="21"/>
              </w:rPr>
              <w:t>选择合适的静脉注射部位；静脉注射操作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426" w:type="dxa"/>
          </w:tcPr>
          <w:p>
            <w:pPr>
              <w:pStyle w:val="11"/>
              <w:spacing w:before="179"/>
              <w:ind w:left="89" w:right="77"/>
              <w:jc w:val="center"/>
              <w:rPr>
                <w:sz w:val="21"/>
              </w:rPr>
            </w:pPr>
            <w:r>
              <w:rPr>
                <w:sz w:val="21"/>
              </w:rPr>
              <w:t>29</w:t>
            </w:r>
          </w:p>
        </w:tc>
        <w:tc>
          <w:tcPr>
            <w:tcW w:w="426" w:type="dxa"/>
            <w:vMerge w:val="continue"/>
            <w:tcBorders>
              <w:top w:val="nil"/>
            </w:tcBorders>
          </w:tcPr>
          <w:p>
            <w:pPr>
              <w:rPr>
                <w:sz w:val="2"/>
                <w:szCs w:val="2"/>
              </w:rPr>
            </w:pPr>
          </w:p>
        </w:tc>
        <w:tc>
          <w:tcPr>
            <w:tcW w:w="1842" w:type="dxa"/>
          </w:tcPr>
          <w:p>
            <w:pPr>
              <w:pStyle w:val="11"/>
              <w:spacing w:before="179"/>
              <w:ind w:left="107"/>
              <w:rPr>
                <w:sz w:val="21"/>
              </w:rPr>
            </w:pPr>
            <w:r>
              <w:rPr>
                <w:sz w:val="21"/>
              </w:rPr>
              <w:t>慢性伤口护理</w:t>
            </w:r>
          </w:p>
        </w:tc>
        <w:tc>
          <w:tcPr>
            <w:tcW w:w="6521" w:type="dxa"/>
          </w:tcPr>
          <w:p>
            <w:pPr>
              <w:pStyle w:val="11"/>
              <w:spacing w:line="300" w:lineRule="exact"/>
              <w:ind w:left="106" w:right="-15"/>
              <w:rPr>
                <w:sz w:val="21"/>
              </w:rPr>
            </w:pPr>
            <w:r>
              <w:rPr>
                <w:spacing w:val="-8"/>
                <w:w w:val="95"/>
                <w:sz w:val="21"/>
              </w:rPr>
              <w:t>①慢性伤口种类及等级评估（</w:t>
            </w:r>
            <w:r>
              <w:rPr>
                <w:spacing w:val="-10"/>
                <w:w w:val="95"/>
                <w:sz w:val="21"/>
              </w:rPr>
              <w:t>压力性损伤、糖尿病足等</w:t>
            </w:r>
            <w:r>
              <w:rPr>
                <w:spacing w:val="-26"/>
                <w:w w:val="95"/>
                <w:sz w:val="21"/>
              </w:rPr>
              <w:t>）</w:t>
            </w:r>
            <w:r>
              <w:rPr>
                <w:spacing w:val="-13"/>
                <w:w w:val="95"/>
                <w:sz w:val="21"/>
              </w:rPr>
              <w:t xml:space="preserve">；②清洁创面、  </w:t>
            </w:r>
            <w:r>
              <w:rPr>
                <w:spacing w:val="-5"/>
                <w:sz w:val="21"/>
              </w:rPr>
              <w:t>清除坏死组织；③换药、更换敷料等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426" w:type="dxa"/>
          </w:tcPr>
          <w:p>
            <w:pPr>
              <w:pStyle w:val="11"/>
              <w:spacing w:before="179"/>
              <w:ind w:left="89" w:right="77"/>
              <w:jc w:val="center"/>
              <w:rPr>
                <w:sz w:val="21"/>
              </w:rPr>
            </w:pPr>
            <w:r>
              <w:rPr>
                <w:sz w:val="21"/>
              </w:rPr>
              <w:t>30</w:t>
            </w:r>
          </w:p>
        </w:tc>
        <w:tc>
          <w:tcPr>
            <w:tcW w:w="426" w:type="dxa"/>
            <w:vMerge w:val="continue"/>
            <w:tcBorders>
              <w:top w:val="nil"/>
            </w:tcBorders>
          </w:tcPr>
          <w:p>
            <w:pPr>
              <w:rPr>
                <w:sz w:val="2"/>
                <w:szCs w:val="2"/>
              </w:rPr>
            </w:pPr>
          </w:p>
        </w:tc>
        <w:tc>
          <w:tcPr>
            <w:tcW w:w="1842" w:type="dxa"/>
          </w:tcPr>
          <w:p>
            <w:pPr>
              <w:pStyle w:val="11"/>
              <w:spacing w:before="179"/>
              <w:ind w:left="107"/>
              <w:rPr>
                <w:sz w:val="21"/>
              </w:rPr>
            </w:pPr>
            <w:r>
              <w:rPr>
                <w:sz w:val="21"/>
              </w:rPr>
              <w:t>普通造口护理</w:t>
            </w:r>
          </w:p>
        </w:tc>
        <w:tc>
          <w:tcPr>
            <w:tcW w:w="6521" w:type="dxa"/>
          </w:tcPr>
          <w:p>
            <w:pPr>
              <w:pStyle w:val="11"/>
              <w:spacing w:line="300" w:lineRule="exact"/>
              <w:ind w:left="106" w:right="92"/>
              <w:rPr>
                <w:sz w:val="21"/>
              </w:rPr>
            </w:pPr>
            <w:r>
              <w:rPr>
                <w:spacing w:val="-6"/>
                <w:w w:val="95"/>
                <w:sz w:val="21"/>
              </w:rPr>
              <w:t>造口部位</w:t>
            </w:r>
            <w:r>
              <w:rPr>
                <w:spacing w:val="-5"/>
                <w:w w:val="95"/>
                <w:sz w:val="21"/>
              </w:rPr>
              <w:t>（</w:t>
            </w:r>
            <w:r>
              <w:rPr>
                <w:spacing w:val="-8"/>
                <w:w w:val="95"/>
                <w:sz w:val="21"/>
              </w:rPr>
              <w:t>胃、肠、膀胱）</w:t>
            </w:r>
            <w:r>
              <w:rPr>
                <w:spacing w:val="-7"/>
                <w:w w:val="95"/>
                <w:sz w:val="21"/>
              </w:rPr>
              <w:t xml:space="preserve">及周围皮肤的评估；造口周围皮肤的日常清  </w:t>
            </w:r>
            <w:r>
              <w:rPr>
                <w:spacing w:val="-5"/>
                <w:sz w:val="21"/>
              </w:rPr>
              <w:t>洁与维护；并发症的预防指导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0" w:hRule="atLeast"/>
        </w:trPr>
        <w:tc>
          <w:tcPr>
            <w:tcW w:w="426" w:type="dxa"/>
          </w:tcPr>
          <w:p>
            <w:pPr>
              <w:pStyle w:val="11"/>
              <w:spacing w:before="7"/>
              <w:rPr>
                <w:rFonts w:ascii="Times New Roman"/>
                <w:sz w:val="28"/>
              </w:rPr>
            </w:pPr>
          </w:p>
          <w:p>
            <w:pPr>
              <w:pStyle w:val="11"/>
              <w:spacing w:before="1"/>
              <w:ind w:left="89" w:right="77"/>
              <w:jc w:val="center"/>
              <w:rPr>
                <w:sz w:val="21"/>
              </w:rPr>
            </w:pPr>
            <w:r>
              <w:rPr>
                <w:sz w:val="21"/>
              </w:rPr>
              <w:t>31</w:t>
            </w:r>
          </w:p>
        </w:tc>
        <w:tc>
          <w:tcPr>
            <w:tcW w:w="426" w:type="dxa"/>
            <w:vMerge w:val="continue"/>
            <w:tcBorders>
              <w:top w:val="nil"/>
            </w:tcBorders>
          </w:tcPr>
          <w:p>
            <w:pPr>
              <w:rPr>
                <w:sz w:val="2"/>
                <w:szCs w:val="2"/>
              </w:rPr>
            </w:pPr>
          </w:p>
        </w:tc>
        <w:tc>
          <w:tcPr>
            <w:tcW w:w="1842" w:type="dxa"/>
          </w:tcPr>
          <w:p>
            <w:pPr>
              <w:pStyle w:val="11"/>
              <w:spacing w:before="7"/>
              <w:rPr>
                <w:rFonts w:ascii="Times New Roman"/>
                <w:sz w:val="28"/>
              </w:rPr>
            </w:pPr>
          </w:p>
          <w:p>
            <w:pPr>
              <w:pStyle w:val="11"/>
              <w:spacing w:before="1"/>
              <w:ind w:left="107"/>
              <w:rPr>
                <w:sz w:val="21"/>
              </w:rPr>
            </w:pPr>
            <w:r>
              <w:rPr>
                <w:sz w:val="21"/>
              </w:rPr>
              <w:t>疑难造口护理</w:t>
            </w:r>
          </w:p>
        </w:tc>
        <w:tc>
          <w:tcPr>
            <w:tcW w:w="6521" w:type="dxa"/>
          </w:tcPr>
          <w:p>
            <w:pPr>
              <w:pStyle w:val="11"/>
              <w:spacing w:before="30" w:line="266" w:lineRule="auto"/>
              <w:ind w:left="106" w:right="-15"/>
              <w:rPr>
                <w:sz w:val="21"/>
              </w:rPr>
            </w:pPr>
            <w:r>
              <w:rPr>
                <w:spacing w:val="-6"/>
                <w:sz w:val="21"/>
              </w:rPr>
              <w:t>①造口部位</w:t>
            </w:r>
            <w:r>
              <w:rPr>
                <w:spacing w:val="-5"/>
                <w:sz w:val="21"/>
              </w:rPr>
              <w:t>（</w:t>
            </w:r>
            <w:r>
              <w:rPr>
                <w:spacing w:val="-8"/>
                <w:sz w:val="21"/>
              </w:rPr>
              <w:t>胃、肠、膀胱）</w:t>
            </w:r>
            <w:r>
              <w:rPr>
                <w:spacing w:val="-7"/>
                <w:sz w:val="21"/>
              </w:rPr>
              <w:t>及周围皮肤的评估；②对造口及其周围并</w:t>
            </w:r>
            <w:r>
              <w:rPr>
                <w:spacing w:val="-17"/>
                <w:w w:val="95"/>
                <w:sz w:val="21"/>
              </w:rPr>
              <w:t>发症、合并症进行处理；③选择适宜的造口护理用品更换底盘及造口袋；</w:t>
            </w:r>
          </w:p>
          <w:p>
            <w:pPr>
              <w:pStyle w:val="11"/>
              <w:spacing w:before="2" w:line="250" w:lineRule="exact"/>
              <w:ind w:left="106"/>
              <w:rPr>
                <w:sz w:val="21"/>
              </w:rPr>
            </w:pPr>
            <w:r>
              <w:rPr>
                <w:sz w:val="21"/>
              </w:rPr>
              <w:t>④给予相应指导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426" w:type="dxa"/>
          </w:tcPr>
          <w:p>
            <w:pPr>
              <w:pStyle w:val="11"/>
              <w:spacing w:before="7"/>
              <w:rPr>
                <w:rFonts w:ascii="Times New Roman"/>
                <w:sz w:val="28"/>
              </w:rPr>
            </w:pPr>
          </w:p>
          <w:p>
            <w:pPr>
              <w:pStyle w:val="11"/>
              <w:ind w:left="89" w:right="77"/>
              <w:jc w:val="center"/>
              <w:rPr>
                <w:sz w:val="21"/>
              </w:rPr>
            </w:pPr>
            <w:r>
              <w:rPr>
                <w:sz w:val="21"/>
              </w:rPr>
              <w:t>32</w:t>
            </w:r>
          </w:p>
        </w:tc>
        <w:tc>
          <w:tcPr>
            <w:tcW w:w="426" w:type="dxa"/>
            <w:vMerge w:val="continue"/>
            <w:tcBorders>
              <w:top w:val="nil"/>
            </w:tcBorders>
          </w:tcPr>
          <w:p>
            <w:pPr>
              <w:rPr>
                <w:sz w:val="2"/>
                <w:szCs w:val="2"/>
              </w:rPr>
            </w:pPr>
          </w:p>
        </w:tc>
        <w:tc>
          <w:tcPr>
            <w:tcW w:w="1842" w:type="dxa"/>
          </w:tcPr>
          <w:p>
            <w:pPr>
              <w:pStyle w:val="11"/>
              <w:spacing w:before="7"/>
              <w:rPr>
                <w:rFonts w:ascii="Times New Roman"/>
                <w:sz w:val="28"/>
              </w:rPr>
            </w:pPr>
          </w:p>
          <w:p>
            <w:pPr>
              <w:pStyle w:val="11"/>
              <w:ind w:left="107"/>
              <w:rPr>
                <w:sz w:val="21"/>
              </w:rPr>
            </w:pPr>
            <w:r>
              <w:rPr>
                <w:sz w:val="21"/>
              </w:rPr>
              <w:t>特殊造口护理</w:t>
            </w:r>
          </w:p>
        </w:tc>
        <w:tc>
          <w:tcPr>
            <w:tcW w:w="6521" w:type="dxa"/>
          </w:tcPr>
          <w:p>
            <w:pPr>
              <w:pStyle w:val="11"/>
              <w:spacing w:before="29" w:line="266" w:lineRule="auto"/>
              <w:ind w:left="106" w:right="92"/>
              <w:rPr>
                <w:sz w:val="21"/>
              </w:rPr>
            </w:pPr>
            <w:r>
              <w:rPr>
                <w:spacing w:val="-10"/>
                <w:w w:val="95"/>
                <w:sz w:val="21"/>
              </w:rPr>
              <w:t>①对胆囊造瘘、小儿肠造瘘等特殊造口部位及皮肤的评估；②造口周围  皮肤的日常清洁与维护；③相关问题处理；④更换底盘及造口袋；⑤并</w:t>
            </w:r>
          </w:p>
          <w:p>
            <w:pPr>
              <w:pStyle w:val="11"/>
              <w:spacing w:before="3" w:line="251" w:lineRule="exact"/>
              <w:ind w:left="106"/>
              <w:rPr>
                <w:sz w:val="21"/>
              </w:rPr>
            </w:pPr>
            <w:r>
              <w:rPr>
                <w:sz w:val="21"/>
              </w:rPr>
              <w:t>发症预防及其他注意事项指导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426" w:type="dxa"/>
          </w:tcPr>
          <w:p>
            <w:pPr>
              <w:pStyle w:val="11"/>
              <w:spacing w:before="7"/>
              <w:rPr>
                <w:rFonts w:ascii="Times New Roman"/>
                <w:sz w:val="28"/>
              </w:rPr>
            </w:pPr>
          </w:p>
          <w:p>
            <w:pPr>
              <w:pStyle w:val="11"/>
              <w:ind w:left="89" w:right="77"/>
              <w:jc w:val="center"/>
              <w:rPr>
                <w:sz w:val="21"/>
              </w:rPr>
            </w:pPr>
            <w:r>
              <w:rPr>
                <w:sz w:val="21"/>
              </w:rPr>
              <w:t>33</w:t>
            </w:r>
          </w:p>
        </w:tc>
        <w:tc>
          <w:tcPr>
            <w:tcW w:w="426" w:type="dxa"/>
            <w:vMerge w:val="continue"/>
            <w:tcBorders>
              <w:top w:val="nil"/>
            </w:tcBorders>
          </w:tcPr>
          <w:p>
            <w:pPr>
              <w:rPr>
                <w:sz w:val="2"/>
                <w:szCs w:val="2"/>
              </w:rPr>
            </w:pPr>
          </w:p>
        </w:tc>
        <w:tc>
          <w:tcPr>
            <w:tcW w:w="1842" w:type="dxa"/>
          </w:tcPr>
          <w:p>
            <w:pPr>
              <w:pStyle w:val="11"/>
              <w:spacing w:before="7"/>
              <w:rPr>
                <w:rFonts w:ascii="Times New Roman"/>
                <w:sz w:val="28"/>
              </w:rPr>
            </w:pPr>
          </w:p>
          <w:p>
            <w:pPr>
              <w:pStyle w:val="11"/>
              <w:ind w:left="107"/>
              <w:rPr>
                <w:sz w:val="21"/>
              </w:rPr>
            </w:pPr>
            <w:r>
              <w:rPr>
                <w:sz w:val="21"/>
              </w:rPr>
              <w:t>气管切开护理</w:t>
            </w:r>
          </w:p>
        </w:tc>
        <w:tc>
          <w:tcPr>
            <w:tcW w:w="6521" w:type="dxa"/>
          </w:tcPr>
          <w:p>
            <w:pPr>
              <w:pStyle w:val="11"/>
              <w:spacing w:before="29" w:line="266" w:lineRule="auto"/>
              <w:ind w:left="106" w:right="92"/>
              <w:rPr>
                <w:sz w:val="21"/>
              </w:rPr>
            </w:pPr>
            <w:r>
              <w:rPr>
                <w:spacing w:val="-10"/>
                <w:w w:val="95"/>
                <w:sz w:val="21"/>
              </w:rPr>
              <w:t>①评估患者颈部皮肤、气管切开处有无渗血、红肿、分泌物；气管套管  的种类及型号、固定是否良好；②气管套管的清洗；③分泌物清理及敷</w:t>
            </w:r>
          </w:p>
          <w:p>
            <w:pPr>
              <w:pStyle w:val="11"/>
              <w:spacing w:before="2" w:line="251" w:lineRule="exact"/>
              <w:ind w:left="106"/>
              <w:rPr>
                <w:sz w:val="21"/>
              </w:rPr>
            </w:pPr>
            <w:r>
              <w:rPr>
                <w:sz w:val="21"/>
              </w:rPr>
              <w:t>料的更换；④患者及家属的安全及健康指导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1" w:line="249" w:lineRule="exact"/>
              <w:ind w:left="89" w:right="77"/>
              <w:jc w:val="center"/>
              <w:rPr>
                <w:sz w:val="21"/>
              </w:rPr>
            </w:pPr>
            <w:r>
              <w:rPr>
                <w:sz w:val="21"/>
              </w:rPr>
              <w:t>34</w:t>
            </w:r>
          </w:p>
        </w:tc>
        <w:tc>
          <w:tcPr>
            <w:tcW w:w="426" w:type="dxa"/>
            <w:vMerge w:val="continue"/>
            <w:tcBorders>
              <w:top w:val="nil"/>
            </w:tcBorders>
          </w:tcPr>
          <w:p>
            <w:pPr>
              <w:rPr>
                <w:sz w:val="2"/>
                <w:szCs w:val="2"/>
              </w:rPr>
            </w:pPr>
          </w:p>
        </w:tc>
        <w:tc>
          <w:tcPr>
            <w:tcW w:w="1842" w:type="dxa"/>
          </w:tcPr>
          <w:p>
            <w:pPr>
              <w:pStyle w:val="11"/>
              <w:spacing w:before="31" w:line="249" w:lineRule="exact"/>
              <w:ind w:left="107"/>
              <w:rPr>
                <w:sz w:val="21"/>
              </w:rPr>
            </w:pPr>
            <w:r>
              <w:rPr>
                <w:sz w:val="21"/>
              </w:rPr>
              <w:t>术后伤口护理</w:t>
            </w:r>
          </w:p>
        </w:tc>
        <w:tc>
          <w:tcPr>
            <w:tcW w:w="6521" w:type="dxa"/>
          </w:tcPr>
          <w:p>
            <w:pPr>
              <w:pStyle w:val="11"/>
              <w:spacing w:before="31" w:line="249" w:lineRule="exact"/>
              <w:ind w:left="106"/>
              <w:rPr>
                <w:sz w:val="21"/>
              </w:rPr>
            </w:pPr>
            <w:r>
              <w:rPr>
                <w:sz w:val="21"/>
              </w:rPr>
              <w:t>术后伤口评估；除去脓液和分泌物、清洁伤口、覆盖敷料；伤口拆线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79"/>
              <w:ind w:left="89" w:right="77"/>
              <w:jc w:val="center"/>
              <w:rPr>
                <w:sz w:val="21"/>
              </w:rPr>
            </w:pPr>
            <w:r>
              <w:rPr>
                <w:sz w:val="21"/>
              </w:rPr>
              <w:t>35</w:t>
            </w:r>
          </w:p>
        </w:tc>
        <w:tc>
          <w:tcPr>
            <w:tcW w:w="426" w:type="dxa"/>
            <w:vMerge w:val="continue"/>
            <w:tcBorders>
              <w:top w:val="nil"/>
            </w:tcBorders>
          </w:tcPr>
          <w:p>
            <w:pPr>
              <w:rPr>
                <w:sz w:val="2"/>
                <w:szCs w:val="2"/>
              </w:rPr>
            </w:pPr>
          </w:p>
        </w:tc>
        <w:tc>
          <w:tcPr>
            <w:tcW w:w="1842" w:type="dxa"/>
          </w:tcPr>
          <w:p>
            <w:pPr>
              <w:pStyle w:val="11"/>
              <w:spacing w:before="179"/>
              <w:ind w:left="107"/>
              <w:rPr>
                <w:sz w:val="21"/>
              </w:rPr>
            </w:pPr>
            <w:r>
              <w:rPr>
                <w:sz w:val="21"/>
              </w:rPr>
              <w:t>失禁性皮炎护理</w:t>
            </w:r>
          </w:p>
        </w:tc>
        <w:tc>
          <w:tcPr>
            <w:tcW w:w="6521" w:type="dxa"/>
          </w:tcPr>
          <w:p>
            <w:pPr>
              <w:pStyle w:val="11"/>
              <w:spacing w:line="300" w:lineRule="exact"/>
              <w:ind w:left="106" w:right="92"/>
              <w:rPr>
                <w:sz w:val="21"/>
              </w:rPr>
            </w:pPr>
            <w:r>
              <w:rPr>
                <w:spacing w:val="-10"/>
                <w:w w:val="95"/>
                <w:sz w:val="21"/>
              </w:rPr>
              <w:t xml:space="preserve">对失禁患者进行评估；选择合适敷料、护理用品、方法处理；对患者及  </w:t>
            </w:r>
            <w:r>
              <w:rPr>
                <w:spacing w:val="-5"/>
                <w:sz w:val="21"/>
              </w:rPr>
              <w:t>照顾者进行健康指导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426" w:type="dxa"/>
          </w:tcPr>
          <w:p>
            <w:pPr>
              <w:pStyle w:val="11"/>
              <w:spacing w:before="179"/>
              <w:ind w:left="89" w:right="77"/>
              <w:jc w:val="center"/>
              <w:rPr>
                <w:sz w:val="21"/>
              </w:rPr>
            </w:pPr>
            <w:r>
              <w:rPr>
                <w:sz w:val="21"/>
              </w:rPr>
              <w:t>36</w:t>
            </w:r>
          </w:p>
        </w:tc>
        <w:tc>
          <w:tcPr>
            <w:tcW w:w="426" w:type="dxa"/>
            <w:vMerge w:val="continue"/>
            <w:tcBorders>
              <w:top w:val="nil"/>
            </w:tcBorders>
          </w:tcPr>
          <w:p>
            <w:pPr>
              <w:rPr>
                <w:sz w:val="2"/>
                <w:szCs w:val="2"/>
              </w:rPr>
            </w:pPr>
          </w:p>
        </w:tc>
        <w:tc>
          <w:tcPr>
            <w:tcW w:w="1842" w:type="dxa"/>
          </w:tcPr>
          <w:p>
            <w:pPr>
              <w:pStyle w:val="11"/>
              <w:spacing w:before="179"/>
              <w:ind w:left="107"/>
              <w:rPr>
                <w:sz w:val="21"/>
              </w:rPr>
            </w:pPr>
            <w:r>
              <w:rPr>
                <w:sz w:val="21"/>
              </w:rPr>
              <w:t>留置尿管的护理</w:t>
            </w:r>
          </w:p>
        </w:tc>
        <w:tc>
          <w:tcPr>
            <w:tcW w:w="6521" w:type="dxa"/>
          </w:tcPr>
          <w:p>
            <w:pPr>
              <w:pStyle w:val="11"/>
              <w:spacing w:line="300" w:lineRule="exact"/>
              <w:ind w:left="106" w:right="92"/>
              <w:rPr>
                <w:sz w:val="21"/>
              </w:rPr>
            </w:pPr>
            <w:r>
              <w:rPr>
                <w:spacing w:val="-8"/>
                <w:w w:val="95"/>
                <w:sz w:val="21"/>
              </w:rPr>
              <w:t>会阴部消毒；更换导尿管及集尿袋；导尿技术实施（</w:t>
            </w:r>
            <w:r>
              <w:rPr>
                <w:spacing w:val="-5"/>
                <w:w w:val="95"/>
                <w:sz w:val="21"/>
              </w:rPr>
              <w:t>女性</w:t>
            </w:r>
            <w:r>
              <w:rPr>
                <w:spacing w:val="-9"/>
                <w:w w:val="95"/>
                <w:sz w:val="21"/>
              </w:rPr>
              <w:t xml:space="preserve">）；导尿管的  </w:t>
            </w:r>
            <w:r>
              <w:rPr>
                <w:spacing w:val="-5"/>
                <w:sz w:val="21"/>
              </w:rPr>
              <w:t>固定；膀胱功能训练及骨盆底肌的锻炼指导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426" w:type="dxa"/>
          </w:tcPr>
          <w:p>
            <w:pPr>
              <w:pStyle w:val="11"/>
              <w:spacing w:before="30" w:line="250" w:lineRule="exact"/>
              <w:ind w:left="89" w:right="77"/>
              <w:jc w:val="center"/>
              <w:rPr>
                <w:sz w:val="21"/>
              </w:rPr>
            </w:pPr>
            <w:r>
              <w:rPr>
                <w:sz w:val="21"/>
              </w:rPr>
              <w:t>37</w:t>
            </w:r>
          </w:p>
        </w:tc>
        <w:tc>
          <w:tcPr>
            <w:tcW w:w="426" w:type="dxa"/>
            <w:vMerge w:val="continue"/>
            <w:tcBorders>
              <w:top w:val="nil"/>
            </w:tcBorders>
          </w:tcPr>
          <w:p>
            <w:pPr>
              <w:rPr>
                <w:sz w:val="2"/>
                <w:szCs w:val="2"/>
              </w:rPr>
            </w:pPr>
          </w:p>
        </w:tc>
        <w:tc>
          <w:tcPr>
            <w:tcW w:w="1842" w:type="dxa"/>
          </w:tcPr>
          <w:p>
            <w:pPr>
              <w:pStyle w:val="11"/>
              <w:spacing w:before="30" w:line="250" w:lineRule="exact"/>
              <w:ind w:left="107"/>
              <w:rPr>
                <w:sz w:val="21"/>
              </w:rPr>
            </w:pPr>
            <w:r>
              <w:rPr>
                <w:sz w:val="21"/>
              </w:rPr>
              <w:t>鼻饲护理</w:t>
            </w:r>
          </w:p>
        </w:tc>
        <w:tc>
          <w:tcPr>
            <w:tcW w:w="6521" w:type="dxa"/>
          </w:tcPr>
          <w:p>
            <w:pPr>
              <w:pStyle w:val="11"/>
              <w:spacing w:before="30" w:line="250" w:lineRule="exact"/>
              <w:ind w:left="106"/>
              <w:rPr>
                <w:sz w:val="21"/>
              </w:rPr>
            </w:pPr>
            <w:r>
              <w:rPr>
                <w:sz w:val="21"/>
              </w:rPr>
              <w:t>检查胃管是否在胃内；经胃管鼻饲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26" w:type="dxa"/>
          </w:tcPr>
          <w:p>
            <w:pPr>
              <w:pStyle w:val="11"/>
              <w:spacing w:before="8"/>
              <w:rPr>
                <w:rFonts w:ascii="Times New Roman"/>
                <w:sz w:val="15"/>
              </w:rPr>
            </w:pPr>
          </w:p>
          <w:p>
            <w:pPr>
              <w:pStyle w:val="11"/>
              <w:ind w:left="89" w:right="77"/>
              <w:jc w:val="center"/>
              <w:rPr>
                <w:sz w:val="21"/>
              </w:rPr>
            </w:pPr>
            <w:r>
              <w:rPr>
                <w:sz w:val="21"/>
              </w:rPr>
              <w:t>38</w:t>
            </w:r>
          </w:p>
        </w:tc>
        <w:tc>
          <w:tcPr>
            <w:tcW w:w="426" w:type="dxa"/>
            <w:vMerge w:val="continue"/>
            <w:tcBorders>
              <w:top w:val="nil"/>
            </w:tcBorders>
          </w:tcPr>
          <w:p>
            <w:pPr>
              <w:rPr>
                <w:sz w:val="2"/>
                <w:szCs w:val="2"/>
              </w:rPr>
            </w:pPr>
          </w:p>
        </w:tc>
        <w:tc>
          <w:tcPr>
            <w:tcW w:w="1842" w:type="dxa"/>
          </w:tcPr>
          <w:p>
            <w:pPr>
              <w:pStyle w:val="11"/>
              <w:spacing w:before="8"/>
              <w:rPr>
                <w:rFonts w:ascii="Times New Roman"/>
                <w:sz w:val="15"/>
              </w:rPr>
            </w:pPr>
          </w:p>
          <w:p>
            <w:pPr>
              <w:pStyle w:val="11"/>
              <w:ind w:left="107"/>
              <w:rPr>
                <w:sz w:val="21"/>
              </w:rPr>
            </w:pPr>
            <w:r>
              <w:rPr>
                <w:sz w:val="21"/>
              </w:rPr>
              <w:t>腹透管维护</w:t>
            </w:r>
          </w:p>
        </w:tc>
        <w:tc>
          <w:tcPr>
            <w:tcW w:w="6521" w:type="dxa"/>
          </w:tcPr>
          <w:p>
            <w:pPr>
              <w:pStyle w:val="11"/>
              <w:spacing w:before="29"/>
              <w:ind w:left="106"/>
              <w:rPr>
                <w:sz w:val="21"/>
              </w:rPr>
            </w:pPr>
            <w:r>
              <w:rPr>
                <w:spacing w:val="-9"/>
                <w:sz w:val="21"/>
              </w:rPr>
              <w:t>①环境评估；②腹膜透析操作；③出口处的评估、消毒；④更换敷料及</w:t>
            </w:r>
          </w:p>
          <w:p>
            <w:pPr>
              <w:pStyle w:val="11"/>
              <w:spacing w:before="31" w:line="251" w:lineRule="exact"/>
              <w:ind w:left="106"/>
              <w:rPr>
                <w:sz w:val="21"/>
              </w:rPr>
            </w:pPr>
            <w:r>
              <w:rPr>
                <w:sz w:val="21"/>
              </w:rPr>
              <w:t>管道固定；⑤透出液的评估与记录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7"/>
              <w:rPr>
                <w:rFonts w:ascii="Times New Roman"/>
                <w:sz w:val="15"/>
              </w:rPr>
            </w:pPr>
          </w:p>
          <w:p>
            <w:pPr>
              <w:pStyle w:val="11"/>
              <w:ind w:left="89" w:right="77"/>
              <w:jc w:val="center"/>
              <w:rPr>
                <w:sz w:val="21"/>
              </w:rPr>
            </w:pPr>
            <w:r>
              <w:rPr>
                <w:sz w:val="21"/>
              </w:rPr>
              <w:t>39</w:t>
            </w:r>
          </w:p>
        </w:tc>
        <w:tc>
          <w:tcPr>
            <w:tcW w:w="426" w:type="dxa"/>
            <w:vMerge w:val="continue"/>
            <w:tcBorders>
              <w:top w:val="nil"/>
            </w:tcBorders>
          </w:tcPr>
          <w:p>
            <w:pPr>
              <w:rPr>
                <w:sz w:val="2"/>
                <w:szCs w:val="2"/>
              </w:rPr>
            </w:pPr>
          </w:p>
        </w:tc>
        <w:tc>
          <w:tcPr>
            <w:tcW w:w="1842" w:type="dxa"/>
          </w:tcPr>
          <w:p>
            <w:pPr>
              <w:pStyle w:val="11"/>
              <w:spacing w:before="7"/>
              <w:rPr>
                <w:rFonts w:ascii="Times New Roman"/>
                <w:sz w:val="15"/>
              </w:rPr>
            </w:pPr>
          </w:p>
          <w:p>
            <w:pPr>
              <w:pStyle w:val="11"/>
              <w:ind w:left="107"/>
              <w:rPr>
                <w:sz w:val="21"/>
              </w:rPr>
            </w:pPr>
            <w:r>
              <w:rPr>
                <w:sz w:val="21"/>
              </w:rPr>
              <w:t>PICC 维护</w:t>
            </w:r>
          </w:p>
        </w:tc>
        <w:tc>
          <w:tcPr>
            <w:tcW w:w="6521" w:type="dxa"/>
          </w:tcPr>
          <w:p>
            <w:pPr>
              <w:pStyle w:val="11"/>
              <w:spacing w:before="29"/>
              <w:ind w:left="106"/>
              <w:rPr>
                <w:sz w:val="21"/>
              </w:rPr>
            </w:pPr>
            <w:r>
              <w:rPr>
                <w:sz w:val="21"/>
              </w:rPr>
              <w:t>检查PICC 管路位置；消毒伤口；更换敷料；脉冲式正压封管；对患者</w:t>
            </w:r>
          </w:p>
          <w:p>
            <w:pPr>
              <w:pStyle w:val="11"/>
              <w:spacing w:before="31" w:line="251" w:lineRule="exact"/>
              <w:ind w:left="106"/>
              <w:rPr>
                <w:sz w:val="21"/>
              </w:rPr>
            </w:pPr>
            <w:r>
              <w:rPr>
                <w:sz w:val="21"/>
              </w:rPr>
              <w:t>及照护者进行日常管理维护指导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80"/>
              <w:ind w:left="89" w:right="77"/>
              <w:jc w:val="center"/>
              <w:rPr>
                <w:sz w:val="21"/>
              </w:rPr>
            </w:pPr>
            <w:r>
              <w:rPr>
                <w:sz w:val="21"/>
              </w:rPr>
              <w:t>40</w:t>
            </w:r>
          </w:p>
        </w:tc>
        <w:tc>
          <w:tcPr>
            <w:tcW w:w="426" w:type="dxa"/>
            <w:vMerge w:val="continue"/>
            <w:tcBorders>
              <w:top w:val="nil"/>
            </w:tcBorders>
          </w:tcPr>
          <w:p>
            <w:pPr>
              <w:rPr>
                <w:sz w:val="2"/>
                <w:szCs w:val="2"/>
              </w:rPr>
            </w:pPr>
          </w:p>
        </w:tc>
        <w:tc>
          <w:tcPr>
            <w:tcW w:w="1842" w:type="dxa"/>
          </w:tcPr>
          <w:p>
            <w:pPr>
              <w:pStyle w:val="11"/>
              <w:spacing w:before="180"/>
              <w:ind w:left="107"/>
              <w:rPr>
                <w:sz w:val="21"/>
              </w:rPr>
            </w:pPr>
            <w:r>
              <w:rPr>
                <w:sz w:val="21"/>
              </w:rPr>
              <w:t>胃/肠造瘘管护理</w:t>
            </w:r>
          </w:p>
        </w:tc>
        <w:tc>
          <w:tcPr>
            <w:tcW w:w="6521" w:type="dxa"/>
          </w:tcPr>
          <w:p>
            <w:pPr>
              <w:pStyle w:val="11"/>
              <w:spacing w:line="300" w:lineRule="atLeast"/>
              <w:ind w:left="106" w:right="92"/>
              <w:rPr>
                <w:sz w:val="21"/>
              </w:rPr>
            </w:pPr>
            <w:r>
              <w:rPr>
                <w:spacing w:val="-10"/>
                <w:w w:val="95"/>
                <w:sz w:val="21"/>
              </w:rPr>
              <w:t xml:space="preserve">管道的评估；造瘘管的冲管；造瘘口周围皮肤护理及管道的固定；固定  </w:t>
            </w:r>
            <w:r>
              <w:rPr>
                <w:spacing w:val="-5"/>
                <w:sz w:val="21"/>
              </w:rPr>
              <w:t>贴膜的更换；造瘘管内给予肠内营养；健康教育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426" w:type="dxa"/>
          </w:tcPr>
          <w:p>
            <w:pPr>
              <w:pStyle w:val="11"/>
              <w:spacing w:before="179"/>
              <w:ind w:left="89" w:right="77"/>
              <w:jc w:val="center"/>
              <w:rPr>
                <w:sz w:val="21"/>
              </w:rPr>
            </w:pPr>
            <w:r>
              <w:rPr>
                <w:sz w:val="21"/>
              </w:rPr>
              <w:t>41</w:t>
            </w:r>
          </w:p>
        </w:tc>
        <w:tc>
          <w:tcPr>
            <w:tcW w:w="426" w:type="dxa"/>
            <w:vMerge w:val="continue"/>
            <w:tcBorders>
              <w:top w:val="nil"/>
            </w:tcBorders>
          </w:tcPr>
          <w:p>
            <w:pPr>
              <w:rPr>
                <w:sz w:val="2"/>
                <w:szCs w:val="2"/>
              </w:rPr>
            </w:pPr>
          </w:p>
        </w:tc>
        <w:tc>
          <w:tcPr>
            <w:tcW w:w="1842" w:type="dxa"/>
          </w:tcPr>
          <w:p>
            <w:pPr>
              <w:pStyle w:val="11"/>
              <w:spacing w:before="179"/>
              <w:ind w:left="107"/>
              <w:rPr>
                <w:sz w:val="21"/>
              </w:rPr>
            </w:pPr>
            <w:r>
              <w:rPr>
                <w:sz w:val="21"/>
              </w:rPr>
              <w:t>各类引流管护理</w:t>
            </w:r>
          </w:p>
        </w:tc>
        <w:tc>
          <w:tcPr>
            <w:tcW w:w="6521" w:type="dxa"/>
          </w:tcPr>
          <w:p>
            <w:pPr>
              <w:pStyle w:val="11"/>
              <w:spacing w:line="300" w:lineRule="exact"/>
              <w:ind w:left="106" w:right="-15"/>
              <w:rPr>
                <w:sz w:val="21"/>
              </w:rPr>
            </w:pPr>
            <w:r>
              <w:rPr>
                <w:spacing w:val="-14"/>
                <w:w w:val="95"/>
                <w:sz w:val="21"/>
              </w:rPr>
              <w:t xml:space="preserve">管道及引流液的评估；引流管周围皮肤的护理与敷料更换；更换引流袋、  </w:t>
            </w:r>
            <w:r>
              <w:rPr>
                <w:spacing w:val="-5"/>
                <w:sz w:val="21"/>
              </w:rPr>
              <w:t>引流球、引流瓶等；健康教育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426" w:type="dxa"/>
          </w:tcPr>
          <w:p>
            <w:pPr>
              <w:pStyle w:val="11"/>
              <w:spacing w:before="179"/>
              <w:ind w:left="89" w:right="77"/>
              <w:jc w:val="center"/>
              <w:rPr>
                <w:sz w:val="21"/>
              </w:rPr>
            </w:pPr>
            <w:r>
              <w:rPr>
                <w:sz w:val="21"/>
              </w:rPr>
              <w:t>42</w:t>
            </w:r>
          </w:p>
        </w:tc>
        <w:tc>
          <w:tcPr>
            <w:tcW w:w="426" w:type="dxa"/>
            <w:vMerge w:val="continue"/>
            <w:tcBorders>
              <w:top w:val="nil"/>
            </w:tcBorders>
          </w:tcPr>
          <w:p>
            <w:pPr>
              <w:rPr>
                <w:sz w:val="2"/>
                <w:szCs w:val="2"/>
              </w:rPr>
            </w:pPr>
          </w:p>
        </w:tc>
        <w:tc>
          <w:tcPr>
            <w:tcW w:w="1842" w:type="dxa"/>
          </w:tcPr>
          <w:p>
            <w:pPr>
              <w:pStyle w:val="11"/>
              <w:spacing w:before="179"/>
              <w:ind w:left="107"/>
              <w:rPr>
                <w:sz w:val="21"/>
              </w:rPr>
            </w:pPr>
            <w:r>
              <w:rPr>
                <w:sz w:val="21"/>
              </w:rPr>
              <w:t>生命体征的监测</w:t>
            </w:r>
          </w:p>
        </w:tc>
        <w:tc>
          <w:tcPr>
            <w:tcW w:w="6521" w:type="dxa"/>
          </w:tcPr>
          <w:p>
            <w:pPr>
              <w:pStyle w:val="11"/>
              <w:spacing w:line="300" w:lineRule="exact"/>
              <w:ind w:left="106" w:right="92"/>
              <w:rPr>
                <w:sz w:val="21"/>
              </w:rPr>
            </w:pPr>
            <w:r>
              <w:rPr>
                <w:spacing w:val="-10"/>
                <w:w w:val="95"/>
                <w:sz w:val="21"/>
              </w:rPr>
              <w:t xml:space="preserve">评估患者情况；体温、脉搏、呼吸及血压的正确测量；测量数据解释及  </w:t>
            </w:r>
            <w:r>
              <w:rPr>
                <w:spacing w:val="-5"/>
                <w:sz w:val="21"/>
              </w:rPr>
              <w:t>相关知识指导；体温计消毒等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5" w:hRule="atLeast"/>
        </w:trPr>
        <w:tc>
          <w:tcPr>
            <w:tcW w:w="426" w:type="dxa"/>
          </w:tcPr>
          <w:p>
            <w:pPr>
              <w:pStyle w:val="11"/>
              <w:spacing w:before="77"/>
              <w:ind w:left="89" w:right="77"/>
              <w:jc w:val="center"/>
              <w:rPr>
                <w:sz w:val="21"/>
              </w:rPr>
            </w:pPr>
            <w:r>
              <w:rPr>
                <w:sz w:val="21"/>
              </w:rPr>
              <w:t>43</w:t>
            </w:r>
          </w:p>
        </w:tc>
        <w:tc>
          <w:tcPr>
            <w:tcW w:w="426" w:type="dxa"/>
            <w:vMerge w:val="continue"/>
            <w:tcBorders>
              <w:top w:val="nil"/>
            </w:tcBorders>
          </w:tcPr>
          <w:p>
            <w:pPr>
              <w:rPr>
                <w:sz w:val="2"/>
                <w:szCs w:val="2"/>
              </w:rPr>
            </w:pPr>
          </w:p>
        </w:tc>
        <w:tc>
          <w:tcPr>
            <w:tcW w:w="1842" w:type="dxa"/>
          </w:tcPr>
          <w:p>
            <w:pPr>
              <w:pStyle w:val="11"/>
              <w:spacing w:before="77"/>
              <w:ind w:left="107"/>
              <w:rPr>
                <w:sz w:val="21"/>
              </w:rPr>
            </w:pPr>
            <w:r>
              <w:rPr>
                <w:sz w:val="21"/>
              </w:rPr>
              <w:t>物理降温</w:t>
            </w:r>
          </w:p>
        </w:tc>
        <w:tc>
          <w:tcPr>
            <w:tcW w:w="6521" w:type="dxa"/>
          </w:tcPr>
          <w:p>
            <w:pPr>
              <w:pStyle w:val="11"/>
              <w:spacing w:before="77"/>
              <w:ind w:left="106"/>
              <w:rPr>
                <w:sz w:val="21"/>
              </w:rPr>
            </w:pPr>
            <w:r>
              <w:rPr>
                <w:sz w:val="21"/>
              </w:rPr>
              <w:t>评估；物理降温工具的选择；降温禁忌部位指导；复测体温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3" w:hRule="atLeast"/>
        </w:trPr>
        <w:tc>
          <w:tcPr>
            <w:tcW w:w="426" w:type="dxa"/>
          </w:tcPr>
          <w:p>
            <w:pPr>
              <w:pStyle w:val="11"/>
              <w:rPr>
                <w:rFonts w:ascii="Times New Roman"/>
                <w:sz w:val="20"/>
              </w:rPr>
            </w:pPr>
          </w:p>
          <w:p>
            <w:pPr>
              <w:pStyle w:val="11"/>
              <w:spacing w:before="2"/>
              <w:rPr>
                <w:rFonts w:ascii="Times New Roman"/>
                <w:sz w:val="20"/>
              </w:rPr>
            </w:pPr>
          </w:p>
          <w:p>
            <w:pPr>
              <w:pStyle w:val="11"/>
              <w:ind w:left="89" w:right="77"/>
              <w:jc w:val="center"/>
              <w:rPr>
                <w:sz w:val="21"/>
              </w:rPr>
            </w:pPr>
            <w:r>
              <w:rPr>
                <w:sz w:val="21"/>
              </w:rPr>
              <w:t>44</w:t>
            </w:r>
          </w:p>
        </w:tc>
        <w:tc>
          <w:tcPr>
            <w:tcW w:w="426" w:type="dxa"/>
            <w:vMerge w:val="continue"/>
            <w:tcBorders>
              <w:top w:val="nil"/>
            </w:tcBorders>
          </w:tcPr>
          <w:p>
            <w:pPr>
              <w:rPr>
                <w:sz w:val="2"/>
                <w:szCs w:val="2"/>
              </w:rPr>
            </w:pPr>
          </w:p>
        </w:tc>
        <w:tc>
          <w:tcPr>
            <w:tcW w:w="1842" w:type="dxa"/>
          </w:tcPr>
          <w:p>
            <w:pPr>
              <w:pStyle w:val="11"/>
              <w:rPr>
                <w:rFonts w:ascii="Times New Roman"/>
                <w:sz w:val="20"/>
              </w:rPr>
            </w:pPr>
          </w:p>
          <w:p>
            <w:pPr>
              <w:pStyle w:val="11"/>
              <w:spacing w:before="2"/>
              <w:rPr>
                <w:rFonts w:ascii="Times New Roman"/>
                <w:sz w:val="20"/>
              </w:rPr>
            </w:pPr>
          </w:p>
          <w:p>
            <w:pPr>
              <w:pStyle w:val="11"/>
              <w:ind w:left="107"/>
              <w:rPr>
                <w:sz w:val="21"/>
              </w:rPr>
            </w:pPr>
            <w:r>
              <w:rPr>
                <w:sz w:val="21"/>
              </w:rPr>
              <w:t>冷疗</w:t>
            </w:r>
          </w:p>
        </w:tc>
        <w:tc>
          <w:tcPr>
            <w:tcW w:w="6521" w:type="dxa"/>
          </w:tcPr>
          <w:p>
            <w:pPr>
              <w:pStyle w:val="11"/>
              <w:spacing w:before="162" w:line="266" w:lineRule="auto"/>
              <w:ind w:left="106" w:right="92"/>
              <w:jc w:val="both"/>
              <w:rPr>
                <w:sz w:val="21"/>
              </w:rPr>
            </w:pPr>
            <w:r>
              <w:rPr>
                <w:spacing w:val="-8"/>
                <w:w w:val="95"/>
                <w:sz w:val="21"/>
              </w:rPr>
              <w:t>评估患者皮肤、意识等情况，明确冷疗目的</w:t>
            </w:r>
            <w:r>
              <w:rPr>
                <w:spacing w:val="-5"/>
                <w:w w:val="95"/>
                <w:sz w:val="21"/>
              </w:rPr>
              <w:t>（</w:t>
            </w:r>
            <w:r>
              <w:rPr>
                <w:spacing w:val="-6"/>
                <w:w w:val="95"/>
                <w:sz w:val="21"/>
              </w:rPr>
              <w:t>局部消肿、止血等</w:t>
            </w:r>
            <w:r>
              <w:rPr>
                <w:spacing w:val="-9"/>
                <w:w w:val="95"/>
                <w:sz w:val="21"/>
              </w:rPr>
              <w:t>）</w:t>
            </w:r>
            <w:r>
              <w:rPr>
                <w:spacing w:val="-12"/>
                <w:w w:val="95"/>
                <w:sz w:val="21"/>
              </w:rPr>
              <w:t xml:space="preserve">；选  </w:t>
            </w:r>
            <w:r>
              <w:rPr>
                <w:spacing w:val="-9"/>
                <w:w w:val="95"/>
                <w:sz w:val="21"/>
              </w:rPr>
              <w:t xml:space="preserve">择合适的冷疗工具进行冷疗；观察局部皮肤、心率及病情变化，防止继  </w:t>
            </w:r>
            <w:r>
              <w:rPr>
                <w:spacing w:val="-5"/>
                <w:sz w:val="21"/>
              </w:rPr>
              <w:t>发效应；冷疗禁忌部位指导</w:t>
            </w:r>
          </w:p>
        </w:tc>
      </w:tr>
    </w:tbl>
    <w:p>
      <w:pPr>
        <w:spacing w:after="0" w:line="266" w:lineRule="auto"/>
        <w:jc w:val="both"/>
        <w:rPr>
          <w:sz w:val="21"/>
        </w:rPr>
        <w:sectPr>
          <w:pgSz w:w="11910" w:h="16840"/>
          <w:pgMar w:top="1580" w:right="780" w:bottom="1720" w:left="880" w:header="0" w:footer="1540" w:gutter="0"/>
          <w:pgNumType w:fmt="decimal"/>
          <w:cols w:space="720" w:num="1"/>
        </w:sectPr>
      </w:pPr>
    </w:p>
    <w:p>
      <w:pPr>
        <w:pStyle w:val="4"/>
        <w:rPr>
          <w:rFonts w:ascii="Times New Roman"/>
          <w:sz w:val="20"/>
        </w:rPr>
      </w:pPr>
    </w:p>
    <w:p>
      <w:pPr>
        <w:pStyle w:val="4"/>
        <w:spacing w:before="6"/>
        <w:rPr>
          <w:rFonts w:ascii="Times New Roman"/>
          <w:sz w:val="18"/>
        </w:rPr>
      </w:pPr>
    </w:p>
    <w:tbl>
      <w:tblPr>
        <w:tblStyle w:val="7"/>
        <w:tblW w:w="0" w:type="auto"/>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
        <w:gridCol w:w="426"/>
        <w:gridCol w:w="1842"/>
        <w:gridCol w:w="6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426" w:type="dxa"/>
          </w:tcPr>
          <w:p>
            <w:pPr>
              <w:pStyle w:val="11"/>
              <w:spacing w:line="300" w:lineRule="exact"/>
              <w:ind w:left="110" w:right="94"/>
              <w:rPr>
                <w:rFonts w:hint="eastAsia" w:ascii="黑体" w:eastAsia="黑体"/>
                <w:sz w:val="21"/>
              </w:rPr>
            </w:pPr>
            <w:r>
              <w:rPr>
                <w:rFonts w:hint="eastAsia" w:ascii="黑体" w:eastAsia="黑体"/>
                <w:sz w:val="21"/>
              </w:rPr>
              <w:t>序号</w:t>
            </w:r>
          </w:p>
        </w:tc>
        <w:tc>
          <w:tcPr>
            <w:tcW w:w="426" w:type="dxa"/>
          </w:tcPr>
          <w:p>
            <w:pPr>
              <w:pStyle w:val="11"/>
              <w:spacing w:line="300" w:lineRule="exact"/>
              <w:ind w:left="111" w:right="93"/>
              <w:rPr>
                <w:rFonts w:hint="eastAsia" w:ascii="黑体" w:eastAsia="黑体"/>
                <w:sz w:val="21"/>
              </w:rPr>
            </w:pPr>
            <w:r>
              <w:rPr>
                <w:rFonts w:hint="eastAsia" w:ascii="黑体" w:eastAsia="黑体"/>
                <w:sz w:val="21"/>
              </w:rPr>
              <w:t>类别</w:t>
            </w:r>
          </w:p>
        </w:tc>
        <w:tc>
          <w:tcPr>
            <w:tcW w:w="1842" w:type="dxa"/>
          </w:tcPr>
          <w:p>
            <w:pPr>
              <w:pStyle w:val="11"/>
              <w:spacing w:before="8"/>
              <w:rPr>
                <w:rFonts w:ascii="Times New Roman"/>
                <w:sz w:val="15"/>
              </w:rPr>
            </w:pPr>
          </w:p>
          <w:p>
            <w:pPr>
              <w:pStyle w:val="11"/>
              <w:ind w:left="513"/>
              <w:rPr>
                <w:rFonts w:hint="eastAsia" w:ascii="黑体" w:hAnsi="黑体" w:eastAsia="黑体"/>
                <w:sz w:val="21"/>
              </w:rPr>
            </w:pPr>
            <w:r>
              <w:rPr>
                <w:rFonts w:hint="eastAsia" w:ascii="黑体" w:hAnsi="黑体" w:eastAsia="黑体"/>
                <w:sz w:val="21"/>
              </w:rPr>
              <w:t>Ⅰ级项目</w:t>
            </w:r>
          </w:p>
        </w:tc>
        <w:tc>
          <w:tcPr>
            <w:tcW w:w="6521" w:type="dxa"/>
          </w:tcPr>
          <w:p>
            <w:pPr>
              <w:pStyle w:val="11"/>
              <w:spacing w:before="8"/>
              <w:rPr>
                <w:rFonts w:ascii="Times New Roman"/>
                <w:sz w:val="15"/>
              </w:rPr>
            </w:pPr>
          </w:p>
          <w:p>
            <w:pPr>
              <w:pStyle w:val="11"/>
              <w:ind w:left="110" w:right="96"/>
              <w:jc w:val="center"/>
              <w:rPr>
                <w:rFonts w:hint="eastAsia" w:ascii="黑体" w:eastAsia="黑体"/>
                <w:sz w:val="21"/>
              </w:rPr>
            </w:pPr>
            <w:r>
              <w:rPr>
                <w:rFonts w:hint="eastAsia" w:ascii="黑体" w:eastAsia="黑体"/>
                <w:sz w:val="21"/>
              </w:rPr>
              <w:t>项目内容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426" w:type="dxa"/>
          </w:tcPr>
          <w:p>
            <w:pPr>
              <w:pStyle w:val="11"/>
              <w:spacing w:before="7"/>
              <w:rPr>
                <w:rFonts w:ascii="Times New Roman"/>
                <w:sz w:val="28"/>
              </w:rPr>
            </w:pPr>
          </w:p>
          <w:p>
            <w:pPr>
              <w:pStyle w:val="11"/>
              <w:ind w:left="89" w:right="77"/>
              <w:jc w:val="center"/>
              <w:rPr>
                <w:sz w:val="21"/>
              </w:rPr>
            </w:pPr>
            <w:r>
              <w:rPr>
                <w:sz w:val="21"/>
              </w:rPr>
              <w:t>45</w:t>
            </w:r>
          </w:p>
        </w:tc>
        <w:tc>
          <w:tcPr>
            <w:tcW w:w="426" w:type="dxa"/>
            <w:vMerge w:val="restart"/>
          </w:tcPr>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spacing w:before="152" w:line="266" w:lineRule="auto"/>
              <w:ind w:left="111" w:right="93"/>
              <w:jc w:val="both"/>
              <w:rPr>
                <w:sz w:val="21"/>
              </w:rPr>
            </w:pPr>
            <w:r>
              <w:rPr>
                <w:sz w:val="21"/>
              </w:rPr>
              <w:t>基础护理项目</w:t>
            </w:r>
          </w:p>
        </w:tc>
        <w:tc>
          <w:tcPr>
            <w:tcW w:w="1842" w:type="dxa"/>
          </w:tcPr>
          <w:p>
            <w:pPr>
              <w:pStyle w:val="11"/>
              <w:spacing w:before="7"/>
              <w:rPr>
                <w:rFonts w:ascii="Times New Roman"/>
                <w:sz w:val="28"/>
              </w:rPr>
            </w:pPr>
          </w:p>
          <w:p>
            <w:pPr>
              <w:pStyle w:val="11"/>
              <w:ind w:left="107"/>
              <w:rPr>
                <w:sz w:val="21"/>
              </w:rPr>
            </w:pPr>
            <w:r>
              <w:rPr>
                <w:sz w:val="21"/>
              </w:rPr>
              <w:t>热疗</w:t>
            </w:r>
          </w:p>
        </w:tc>
        <w:tc>
          <w:tcPr>
            <w:tcW w:w="6521" w:type="dxa"/>
          </w:tcPr>
          <w:p>
            <w:pPr>
              <w:pStyle w:val="11"/>
              <w:spacing w:before="29" w:line="266" w:lineRule="auto"/>
              <w:ind w:left="106" w:right="92"/>
              <w:rPr>
                <w:sz w:val="21"/>
              </w:rPr>
            </w:pPr>
            <w:r>
              <w:rPr>
                <w:spacing w:val="-8"/>
                <w:w w:val="95"/>
                <w:sz w:val="21"/>
              </w:rPr>
              <w:t xml:space="preserve">评估患者有无高热、出血等情况，明确热疗目的（促进炎症消散、减轻  </w:t>
            </w:r>
            <w:r>
              <w:rPr>
                <w:spacing w:val="-5"/>
                <w:w w:val="95"/>
                <w:sz w:val="21"/>
              </w:rPr>
              <w:t>组织充血等</w:t>
            </w:r>
            <w:r>
              <w:rPr>
                <w:spacing w:val="-12"/>
                <w:w w:val="95"/>
                <w:sz w:val="21"/>
              </w:rPr>
              <w:t>）</w:t>
            </w:r>
            <w:r>
              <w:rPr>
                <w:spacing w:val="-10"/>
                <w:w w:val="95"/>
                <w:sz w:val="21"/>
              </w:rPr>
              <w:t>；选择合适的热疗工具进行热疗；监测患者生命体征及病</w:t>
            </w:r>
          </w:p>
          <w:p>
            <w:pPr>
              <w:pStyle w:val="11"/>
              <w:spacing w:before="3" w:line="251" w:lineRule="exact"/>
              <w:ind w:left="106"/>
              <w:rPr>
                <w:sz w:val="21"/>
              </w:rPr>
            </w:pPr>
            <w:r>
              <w:rPr>
                <w:sz w:val="21"/>
              </w:rPr>
              <w:t>情变化；热疗禁忌部位指导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trPr>
        <w:tc>
          <w:tcPr>
            <w:tcW w:w="426" w:type="dxa"/>
          </w:tcPr>
          <w:p>
            <w:pPr>
              <w:pStyle w:val="11"/>
              <w:rPr>
                <w:rFonts w:ascii="Times New Roman"/>
                <w:sz w:val="20"/>
              </w:rPr>
            </w:pPr>
          </w:p>
          <w:p>
            <w:pPr>
              <w:pStyle w:val="11"/>
              <w:spacing w:before="161"/>
              <w:ind w:left="89" w:right="77"/>
              <w:jc w:val="center"/>
              <w:rPr>
                <w:sz w:val="21"/>
              </w:rPr>
            </w:pPr>
            <w:r>
              <w:rPr>
                <w:sz w:val="21"/>
              </w:rPr>
              <w:t>46</w:t>
            </w:r>
          </w:p>
        </w:tc>
        <w:tc>
          <w:tcPr>
            <w:tcW w:w="426" w:type="dxa"/>
            <w:vMerge w:val="continue"/>
            <w:tcBorders>
              <w:top w:val="nil"/>
            </w:tcBorders>
          </w:tcPr>
          <w:p>
            <w:pPr>
              <w:rPr>
                <w:sz w:val="2"/>
                <w:szCs w:val="2"/>
              </w:rPr>
            </w:pPr>
          </w:p>
        </w:tc>
        <w:tc>
          <w:tcPr>
            <w:tcW w:w="1842" w:type="dxa"/>
          </w:tcPr>
          <w:p>
            <w:pPr>
              <w:pStyle w:val="11"/>
              <w:rPr>
                <w:rFonts w:ascii="Times New Roman"/>
                <w:sz w:val="20"/>
              </w:rPr>
            </w:pPr>
          </w:p>
          <w:p>
            <w:pPr>
              <w:pStyle w:val="11"/>
              <w:spacing w:before="161"/>
              <w:ind w:left="107"/>
              <w:rPr>
                <w:sz w:val="21"/>
              </w:rPr>
            </w:pPr>
            <w:r>
              <w:rPr>
                <w:sz w:val="21"/>
              </w:rPr>
              <w:t>吸痰护理</w:t>
            </w:r>
          </w:p>
        </w:tc>
        <w:tc>
          <w:tcPr>
            <w:tcW w:w="6521" w:type="dxa"/>
          </w:tcPr>
          <w:p>
            <w:pPr>
              <w:pStyle w:val="11"/>
              <w:spacing w:before="91" w:line="266" w:lineRule="auto"/>
              <w:ind w:left="106" w:right="92"/>
              <w:jc w:val="both"/>
              <w:rPr>
                <w:sz w:val="21"/>
              </w:rPr>
            </w:pPr>
            <w:r>
              <w:rPr>
                <w:spacing w:val="-10"/>
                <w:w w:val="95"/>
                <w:sz w:val="21"/>
              </w:rPr>
              <w:t xml:space="preserve">评估患者意识、氧饱和度、血压、呼吸道分泌物等情况；选择粗细、软  硬适宜的吸痰管及适宜的负压；给氧、湿化、吸痰；观察患者生命体征  </w:t>
            </w:r>
            <w:r>
              <w:rPr>
                <w:spacing w:val="-4"/>
                <w:sz w:val="21"/>
              </w:rPr>
              <w:t>及病情变化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426" w:type="dxa"/>
          </w:tcPr>
          <w:p>
            <w:pPr>
              <w:pStyle w:val="11"/>
              <w:spacing w:before="1"/>
              <w:rPr>
                <w:rFonts w:ascii="Times New Roman"/>
                <w:sz w:val="23"/>
              </w:rPr>
            </w:pPr>
          </w:p>
          <w:p>
            <w:pPr>
              <w:pStyle w:val="11"/>
              <w:ind w:left="89" w:right="77"/>
              <w:jc w:val="center"/>
              <w:rPr>
                <w:sz w:val="21"/>
              </w:rPr>
            </w:pPr>
            <w:r>
              <w:rPr>
                <w:sz w:val="21"/>
              </w:rPr>
              <w:t>47</w:t>
            </w:r>
          </w:p>
        </w:tc>
        <w:tc>
          <w:tcPr>
            <w:tcW w:w="426" w:type="dxa"/>
            <w:vMerge w:val="continue"/>
            <w:tcBorders>
              <w:top w:val="nil"/>
            </w:tcBorders>
          </w:tcPr>
          <w:p>
            <w:pPr>
              <w:rPr>
                <w:sz w:val="2"/>
                <w:szCs w:val="2"/>
              </w:rPr>
            </w:pPr>
          </w:p>
        </w:tc>
        <w:tc>
          <w:tcPr>
            <w:tcW w:w="1842" w:type="dxa"/>
          </w:tcPr>
          <w:p>
            <w:pPr>
              <w:pStyle w:val="11"/>
              <w:spacing w:before="1"/>
              <w:rPr>
                <w:rFonts w:ascii="Times New Roman"/>
                <w:sz w:val="23"/>
              </w:rPr>
            </w:pPr>
          </w:p>
          <w:p>
            <w:pPr>
              <w:pStyle w:val="11"/>
              <w:ind w:left="107"/>
              <w:rPr>
                <w:sz w:val="21"/>
              </w:rPr>
            </w:pPr>
            <w:r>
              <w:rPr>
                <w:sz w:val="21"/>
              </w:rPr>
              <w:t>膀胱冲洗</w:t>
            </w:r>
          </w:p>
        </w:tc>
        <w:tc>
          <w:tcPr>
            <w:tcW w:w="6521" w:type="dxa"/>
          </w:tcPr>
          <w:p>
            <w:pPr>
              <w:pStyle w:val="11"/>
              <w:spacing w:before="115" w:line="266" w:lineRule="auto"/>
              <w:ind w:left="106" w:right="92"/>
              <w:rPr>
                <w:sz w:val="21"/>
              </w:rPr>
            </w:pPr>
            <w:r>
              <w:rPr>
                <w:spacing w:val="-8"/>
                <w:w w:val="95"/>
                <w:sz w:val="21"/>
              </w:rPr>
              <w:t xml:space="preserve">评估患者病情及尿管通畅情况；夹闭尿管进行膀胱冲洗；并发症等异常  </w:t>
            </w:r>
            <w:r>
              <w:rPr>
                <w:spacing w:val="-4"/>
                <w:sz w:val="21"/>
              </w:rPr>
              <w:t>情况处理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426" w:type="dxa"/>
          </w:tcPr>
          <w:p>
            <w:pPr>
              <w:pStyle w:val="11"/>
              <w:spacing w:before="3"/>
              <w:rPr>
                <w:rFonts w:ascii="Times New Roman"/>
                <w:sz w:val="22"/>
              </w:rPr>
            </w:pPr>
          </w:p>
          <w:p>
            <w:pPr>
              <w:pStyle w:val="11"/>
              <w:ind w:left="89" w:right="77"/>
              <w:jc w:val="center"/>
              <w:rPr>
                <w:sz w:val="21"/>
              </w:rPr>
            </w:pPr>
            <w:r>
              <w:rPr>
                <w:sz w:val="21"/>
              </w:rPr>
              <w:t>48</w:t>
            </w:r>
          </w:p>
        </w:tc>
        <w:tc>
          <w:tcPr>
            <w:tcW w:w="426" w:type="dxa"/>
            <w:vMerge w:val="continue"/>
            <w:tcBorders>
              <w:top w:val="nil"/>
            </w:tcBorders>
          </w:tcPr>
          <w:p>
            <w:pPr>
              <w:rPr>
                <w:sz w:val="2"/>
                <w:szCs w:val="2"/>
              </w:rPr>
            </w:pPr>
          </w:p>
        </w:tc>
        <w:tc>
          <w:tcPr>
            <w:tcW w:w="1842" w:type="dxa"/>
          </w:tcPr>
          <w:p>
            <w:pPr>
              <w:pStyle w:val="11"/>
              <w:spacing w:before="3"/>
              <w:rPr>
                <w:rFonts w:ascii="Times New Roman"/>
                <w:sz w:val="22"/>
              </w:rPr>
            </w:pPr>
          </w:p>
          <w:p>
            <w:pPr>
              <w:pStyle w:val="11"/>
              <w:ind w:left="107"/>
              <w:rPr>
                <w:sz w:val="21"/>
              </w:rPr>
            </w:pPr>
            <w:r>
              <w:rPr>
                <w:sz w:val="21"/>
              </w:rPr>
              <w:t>灌肠</w:t>
            </w:r>
          </w:p>
        </w:tc>
        <w:tc>
          <w:tcPr>
            <w:tcW w:w="6521" w:type="dxa"/>
          </w:tcPr>
          <w:p>
            <w:pPr>
              <w:pStyle w:val="11"/>
              <w:spacing w:before="107" w:line="266" w:lineRule="auto"/>
              <w:ind w:left="106" w:right="92"/>
              <w:rPr>
                <w:sz w:val="21"/>
              </w:rPr>
            </w:pPr>
            <w:r>
              <w:rPr>
                <w:spacing w:val="-8"/>
                <w:w w:val="95"/>
                <w:sz w:val="21"/>
              </w:rPr>
              <w:t xml:space="preserve">患者意识及禁忌症等的评估；根据患者情况及灌肠目的选择合适的灌肠  </w:t>
            </w:r>
            <w:r>
              <w:rPr>
                <w:spacing w:val="-5"/>
                <w:sz w:val="21"/>
              </w:rPr>
              <w:t>方式及药物进行灌肠；灌肠后注意事项告知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26" w:type="dxa"/>
          </w:tcPr>
          <w:p>
            <w:pPr>
              <w:pStyle w:val="11"/>
              <w:rPr>
                <w:rFonts w:ascii="Times New Roman"/>
                <w:sz w:val="20"/>
              </w:rPr>
            </w:pPr>
          </w:p>
          <w:p>
            <w:pPr>
              <w:pStyle w:val="11"/>
              <w:spacing w:before="161"/>
              <w:ind w:left="89" w:right="77"/>
              <w:jc w:val="center"/>
              <w:rPr>
                <w:sz w:val="21"/>
              </w:rPr>
            </w:pPr>
            <w:r>
              <w:rPr>
                <w:sz w:val="21"/>
              </w:rPr>
              <w:t>49</w:t>
            </w:r>
          </w:p>
        </w:tc>
        <w:tc>
          <w:tcPr>
            <w:tcW w:w="426" w:type="dxa"/>
            <w:vMerge w:val="continue"/>
            <w:tcBorders>
              <w:top w:val="nil"/>
            </w:tcBorders>
          </w:tcPr>
          <w:p>
            <w:pPr>
              <w:rPr>
                <w:sz w:val="2"/>
                <w:szCs w:val="2"/>
              </w:rPr>
            </w:pPr>
          </w:p>
        </w:tc>
        <w:tc>
          <w:tcPr>
            <w:tcW w:w="1842" w:type="dxa"/>
          </w:tcPr>
          <w:p>
            <w:pPr>
              <w:pStyle w:val="11"/>
              <w:rPr>
                <w:rFonts w:ascii="Times New Roman"/>
                <w:sz w:val="20"/>
              </w:rPr>
            </w:pPr>
          </w:p>
          <w:p>
            <w:pPr>
              <w:pStyle w:val="11"/>
              <w:spacing w:before="161"/>
              <w:ind w:left="107"/>
              <w:rPr>
                <w:sz w:val="21"/>
              </w:rPr>
            </w:pPr>
            <w:r>
              <w:rPr>
                <w:sz w:val="21"/>
              </w:rPr>
              <w:t>居家营养支持</w:t>
            </w:r>
          </w:p>
        </w:tc>
        <w:tc>
          <w:tcPr>
            <w:tcW w:w="6521" w:type="dxa"/>
          </w:tcPr>
          <w:p>
            <w:pPr>
              <w:pStyle w:val="11"/>
              <w:spacing w:before="91" w:line="266" w:lineRule="auto"/>
              <w:ind w:left="106" w:right="-15"/>
              <w:rPr>
                <w:sz w:val="21"/>
              </w:rPr>
            </w:pPr>
            <w:r>
              <w:rPr>
                <w:spacing w:val="-7"/>
                <w:w w:val="95"/>
                <w:sz w:val="21"/>
              </w:rPr>
              <w:t>评估患者胃肠道症状</w:t>
            </w:r>
            <w:r>
              <w:rPr>
                <w:spacing w:val="-8"/>
                <w:w w:val="95"/>
                <w:sz w:val="21"/>
              </w:rPr>
              <w:t>（</w:t>
            </w:r>
            <w:r>
              <w:rPr>
                <w:spacing w:val="-11"/>
                <w:w w:val="95"/>
                <w:sz w:val="21"/>
              </w:rPr>
              <w:t>腹胀、腹泻、便秘等</w:t>
            </w:r>
            <w:r>
              <w:rPr>
                <w:spacing w:val="-25"/>
                <w:w w:val="95"/>
                <w:sz w:val="21"/>
              </w:rPr>
              <w:t>）</w:t>
            </w:r>
            <w:r>
              <w:rPr>
                <w:spacing w:val="-13"/>
                <w:w w:val="95"/>
                <w:sz w:val="21"/>
              </w:rPr>
              <w:t>、营养状况</w:t>
            </w:r>
            <w:r>
              <w:rPr>
                <w:spacing w:val="-5"/>
                <w:w w:val="95"/>
                <w:sz w:val="21"/>
              </w:rPr>
              <w:t>（</w:t>
            </w:r>
            <w:r>
              <w:rPr>
                <w:spacing w:val="-10"/>
                <w:w w:val="95"/>
                <w:sz w:val="21"/>
              </w:rPr>
              <w:t xml:space="preserve">消瘦、肥胖、  </w:t>
            </w:r>
            <w:r>
              <w:rPr>
                <w:spacing w:val="-5"/>
                <w:sz w:val="21"/>
              </w:rPr>
              <w:t>水肿等</w:t>
            </w:r>
            <w:r>
              <w:rPr>
                <w:spacing w:val="-13"/>
                <w:sz w:val="21"/>
              </w:rPr>
              <w:t>）</w:t>
            </w:r>
            <w:r>
              <w:rPr>
                <w:spacing w:val="-7"/>
                <w:sz w:val="21"/>
              </w:rPr>
              <w:t>等营养相关问题出现；评估患者每日营养摄入情况；制定居家</w:t>
            </w:r>
            <w:r>
              <w:rPr>
                <w:spacing w:val="-5"/>
                <w:sz w:val="21"/>
              </w:rPr>
              <w:t>营养支持方案；营养支持的健康宣教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426" w:type="dxa"/>
          </w:tcPr>
          <w:p>
            <w:pPr>
              <w:pStyle w:val="11"/>
              <w:spacing w:before="7"/>
              <w:rPr>
                <w:rFonts w:ascii="Times New Roman"/>
                <w:sz w:val="21"/>
              </w:rPr>
            </w:pPr>
          </w:p>
          <w:p>
            <w:pPr>
              <w:pStyle w:val="11"/>
              <w:ind w:left="89" w:right="77"/>
              <w:jc w:val="center"/>
              <w:rPr>
                <w:sz w:val="21"/>
              </w:rPr>
            </w:pPr>
            <w:r>
              <w:rPr>
                <w:sz w:val="21"/>
              </w:rPr>
              <w:t>50</w:t>
            </w:r>
          </w:p>
        </w:tc>
        <w:tc>
          <w:tcPr>
            <w:tcW w:w="426" w:type="dxa"/>
            <w:vMerge w:val="continue"/>
            <w:tcBorders>
              <w:top w:val="nil"/>
            </w:tcBorders>
          </w:tcPr>
          <w:p>
            <w:pPr>
              <w:rPr>
                <w:sz w:val="2"/>
                <w:szCs w:val="2"/>
              </w:rPr>
            </w:pPr>
          </w:p>
        </w:tc>
        <w:tc>
          <w:tcPr>
            <w:tcW w:w="1842" w:type="dxa"/>
          </w:tcPr>
          <w:p>
            <w:pPr>
              <w:pStyle w:val="11"/>
              <w:spacing w:before="7"/>
              <w:rPr>
                <w:rFonts w:ascii="Times New Roman"/>
                <w:sz w:val="21"/>
              </w:rPr>
            </w:pPr>
          </w:p>
          <w:p>
            <w:pPr>
              <w:pStyle w:val="11"/>
              <w:ind w:left="107"/>
              <w:rPr>
                <w:sz w:val="21"/>
              </w:rPr>
            </w:pPr>
            <w:r>
              <w:rPr>
                <w:sz w:val="21"/>
              </w:rPr>
              <w:t>疼痛护理</w:t>
            </w:r>
          </w:p>
        </w:tc>
        <w:tc>
          <w:tcPr>
            <w:tcW w:w="6521" w:type="dxa"/>
          </w:tcPr>
          <w:p>
            <w:pPr>
              <w:pStyle w:val="11"/>
              <w:spacing w:before="100" w:line="266" w:lineRule="auto"/>
              <w:ind w:left="106" w:right="-15"/>
              <w:rPr>
                <w:sz w:val="21"/>
              </w:rPr>
            </w:pPr>
            <w:r>
              <w:rPr>
                <w:spacing w:val="-15"/>
                <w:w w:val="95"/>
                <w:sz w:val="21"/>
              </w:rPr>
              <w:t xml:space="preserve">评估患者疼痛的部位、性质、程度及疼痛原因等；采取有效的止痛措施；  </w:t>
            </w:r>
            <w:r>
              <w:rPr>
                <w:spacing w:val="-5"/>
                <w:sz w:val="21"/>
              </w:rPr>
              <w:t>心理护理，缓解疼痛压力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8"/>
              <w:rPr>
                <w:rFonts w:ascii="Times New Roman"/>
                <w:sz w:val="15"/>
              </w:rPr>
            </w:pPr>
          </w:p>
          <w:p>
            <w:pPr>
              <w:pStyle w:val="11"/>
              <w:ind w:left="89" w:right="77"/>
              <w:jc w:val="center"/>
              <w:rPr>
                <w:sz w:val="21"/>
              </w:rPr>
            </w:pPr>
            <w:r>
              <w:rPr>
                <w:sz w:val="21"/>
              </w:rPr>
              <w:t>51</w:t>
            </w:r>
          </w:p>
        </w:tc>
        <w:tc>
          <w:tcPr>
            <w:tcW w:w="426" w:type="dxa"/>
            <w:vMerge w:val="restart"/>
          </w:tcPr>
          <w:p>
            <w:pPr>
              <w:pStyle w:val="11"/>
              <w:spacing w:before="1"/>
              <w:rPr>
                <w:rFonts w:ascii="Times New Roman"/>
                <w:sz w:val="16"/>
              </w:rPr>
            </w:pPr>
          </w:p>
          <w:p>
            <w:pPr>
              <w:pStyle w:val="11"/>
              <w:spacing w:line="266" w:lineRule="auto"/>
              <w:ind w:left="111" w:right="93"/>
              <w:jc w:val="both"/>
              <w:rPr>
                <w:sz w:val="21"/>
              </w:rPr>
            </w:pPr>
            <w:r>
              <w:rPr>
                <w:sz w:val="21"/>
              </w:rPr>
              <w:t>康复项目</w:t>
            </w:r>
          </w:p>
        </w:tc>
        <w:tc>
          <w:tcPr>
            <w:tcW w:w="1842" w:type="dxa"/>
          </w:tcPr>
          <w:p>
            <w:pPr>
              <w:pStyle w:val="11"/>
              <w:spacing w:before="8"/>
              <w:rPr>
                <w:rFonts w:ascii="Times New Roman"/>
                <w:sz w:val="15"/>
              </w:rPr>
            </w:pPr>
          </w:p>
          <w:p>
            <w:pPr>
              <w:pStyle w:val="11"/>
              <w:ind w:left="107"/>
              <w:rPr>
                <w:sz w:val="21"/>
              </w:rPr>
            </w:pPr>
            <w:r>
              <w:rPr>
                <w:sz w:val="21"/>
              </w:rPr>
              <w:t>物理治疗</w:t>
            </w:r>
          </w:p>
        </w:tc>
        <w:tc>
          <w:tcPr>
            <w:tcW w:w="6521" w:type="dxa"/>
          </w:tcPr>
          <w:p>
            <w:pPr>
              <w:pStyle w:val="11"/>
              <w:spacing w:before="29"/>
              <w:ind w:left="106" w:right="-15"/>
              <w:rPr>
                <w:sz w:val="21"/>
              </w:rPr>
            </w:pPr>
            <w:r>
              <w:rPr>
                <w:spacing w:val="-10"/>
                <w:sz w:val="21"/>
              </w:rPr>
              <w:t>利用人体肌肉关节运动，以达到防治疾 病、促进身心功能恢复和发展，</w:t>
            </w:r>
          </w:p>
          <w:p>
            <w:pPr>
              <w:pStyle w:val="11"/>
              <w:spacing w:before="31" w:line="250" w:lineRule="exact"/>
              <w:ind w:left="106"/>
              <w:rPr>
                <w:sz w:val="21"/>
              </w:rPr>
            </w:pPr>
            <w:r>
              <w:rPr>
                <w:sz w:val="21"/>
              </w:rPr>
              <w:t>详见附件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426" w:type="dxa"/>
          </w:tcPr>
          <w:p>
            <w:pPr>
              <w:pStyle w:val="11"/>
              <w:spacing w:before="7"/>
              <w:rPr>
                <w:rFonts w:ascii="Times New Roman"/>
                <w:sz w:val="28"/>
              </w:rPr>
            </w:pPr>
          </w:p>
          <w:p>
            <w:pPr>
              <w:pStyle w:val="11"/>
              <w:ind w:left="89" w:right="77"/>
              <w:jc w:val="center"/>
              <w:rPr>
                <w:sz w:val="21"/>
              </w:rPr>
            </w:pPr>
            <w:r>
              <w:rPr>
                <w:sz w:val="21"/>
              </w:rPr>
              <w:t>52</w:t>
            </w:r>
          </w:p>
        </w:tc>
        <w:tc>
          <w:tcPr>
            <w:tcW w:w="426" w:type="dxa"/>
            <w:vMerge w:val="continue"/>
            <w:tcBorders>
              <w:top w:val="nil"/>
            </w:tcBorders>
          </w:tcPr>
          <w:p>
            <w:pPr>
              <w:rPr>
                <w:sz w:val="2"/>
                <w:szCs w:val="2"/>
              </w:rPr>
            </w:pPr>
          </w:p>
        </w:tc>
        <w:tc>
          <w:tcPr>
            <w:tcW w:w="1842" w:type="dxa"/>
          </w:tcPr>
          <w:p>
            <w:pPr>
              <w:pStyle w:val="11"/>
              <w:spacing w:before="7"/>
              <w:rPr>
                <w:rFonts w:ascii="Times New Roman"/>
                <w:sz w:val="28"/>
              </w:rPr>
            </w:pPr>
          </w:p>
          <w:p>
            <w:pPr>
              <w:pStyle w:val="11"/>
              <w:ind w:left="107"/>
              <w:rPr>
                <w:sz w:val="21"/>
              </w:rPr>
            </w:pPr>
            <w:r>
              <w:rPr>
                <w:sz w:val="21"/>
              </w:rPr>
              <w:t>作业疗法</w:t>
            </w:r>
          </w:p>
        </w:tc>
        <w:tc>
          <w:tcPr>
            <w:tcW w:w="6521" w:type="dxa"/>
          </w:tcPr>
          <w:p>
            <w:pPr>
              <w:pStyle w:val="11"/>
              <w:spacing w:before="29" w:line="266" w:lineRule="auto"/>
              <w:ind w:left="106" w:right="92"/>
              <w:rPr>
                <w:sz w:val="21"/>
              </w:rPr>
            </w:pPr>
            <w:r>
              <w:rPr>
                <w:spacing w:val="-10"/>
                <w:w w:val="95"/>
                <w:sz w:val="21"/>
              </w:rPr>
              <w:t xml:space="preserve">应用有目的的、经过选择的作业活动，对身体、精神、发育有功能障碍  </w:t>
            </w:r>
            <w:r>
              <w:rPr>
                <w:spacing w:val="-5"/>
                <w:sz w:val="21"/>
              </w:rPr>
              <w:t>者或残疾以致不同程度丧失生活自理能力和职业劳动能力的患者进行</w:t>
            </w:r>
          </w:p>
          <w:p>
            <w:pPr>
              <w:pStyle w:val="11"/>
              <w:spacing w:before="3" w:line="251" w:lineRule="exact"/>
              <w:ind w:left="106"/>
              <w:rPr>
                <w:sz w:val="21"/>
              </w:rPr>
            </w:pPr>
            <w:r>
              <w:rPr>
                <w:sz w:val="21"/>
              </w:rPr>
              <w:t>训练，使其生活、学习、工作能力得以提高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426" w:type="dxa"/>
          </w:tcPr>
          <w:p>
            <w:pPr>
              <w:pStyle w:val="11"/>
              <w:rPr>
                <w:rFonts w:ascii="Times New Roman"/>
                <w:sz w:val="20"/>
              </w:rPr>
            </w:pPr>
          </w:p>
          <w:p>
            <w:pPr>
              <w:pStyle w:val="11"/>
              <w:rPr>
                <w:rFonts w:ascii="Times New Roman"/>
                <w:sz w:val="20"/>
              </w:rPr>
            </w:pPr>
          </w:p>
          <w:p>
            <w:pPr>
              <w:pStyle w:val="11"/>
              <w:spacing w:before="171"/>
              <w:ind w:left="89" w:right="77"/>
              <w:jc w:val="center"/>
              <w:rPr>
                <w:sz w:val="21"/>
              </w:rPr>
            </w:pPr>
            <w:r>
              <w:rPr>
                <w:sz w:val="21"/>
              </w:rPr>
              <w:t>53</w:t>
            </w:r>
          </w:p>
        </w:tc>
        <w:tc>
          <w:tcPr>
            <w:tcW w:w="426" w:type="dxa"/>
          </w:tcPr>
          <w:p>
            <w:pPr>
              <w:pStyle w:val="11"/>
              <w:spacing w:before="7"/>
              <w:rPr>
                <w:rFonts w:ascii="Times New Roman"/>
                <w:sz w:val="15"/>
              </w:rPr>
            </w:pPr>
          </w:p>
          <w:p>
            <w:pPr>
              <w:pStyle w:val="11"/>
              <w:spacing w:line="266" w:lineRule="auto"/>
              <w:ind w:left="111" w:right="93"/>
              <w:jc w:val="both"/>
              <w:rPr>
                <w:sz w:val="21"/>
              </w:rPr>
            </w:pPr>
            <w:r>
              <w:rPr>
                <w:sz w:val="21"/>
              </w:rPr>
              <w:t>中医项目</w:t>
            </w:r>
          </w:p>
        </w:tc>
        <w:tc>
          <w:tcPr>
            <w:tcW w:w="1842" w:type="dxa"/>
          </w:tcPr>
          <w:p>
            <w:pPr>
              <w:pStyle w:val="11"/>
              <w:rPr>
                <w:rFonts w:ascii="Times New Roman"/>
                <w:sz w:val="20"/>
              </w:rPr>
            </w:pPr>
          </w:p>
          <w:p>
            <w:pPr>
              <w:pStyle w:val="11"/>
              <w:rPr>
                <w:rFonts w:ascii="Times New Roman"/>
                <w:sz w:val="20"/>
              </w:rPr>
            </w:pPr>
          </w:p>
          <w:p>
            <w:pPr>
              <w:pStyle w:val="11"/>
              <w:spacing w:before="171"/>
              <w:ind w:left="107"/>
              <w:rPr>
                <w:sz w:val="21"/>
              </w:rPr>
            </w:pPr>
            <w:r>
              <w:rPr>
                <w:sz w:val="21"/>
              </w:rPr>
              <w:t>中医医疗技术</w:t>
            </w:r>
          </w:p>
        </w:tc>
        <w:tc>
          <w:tcPr>
            <w:tcW w:w="6521" w:type="dxa"/>
          </w:tcPr>
          <w:p>
            <w:pPr>
              <w:pStyle w:val="11"/>
              <w:spacing w:line="300" w:lineRule="atLeast"/>
              <w:ind w:left="106" w:right="-15"/>
              <w:rPr>
                <w:sz w:val="21"/>
              </w:rPr>
            </w:pPr>
            <w:r>
              <w:rPr>
                <w:spacing w:val="-16"/>
                <w:w w:val="95"/>
                <w:sz w:val="21"/>
              </w:rPr>
              <w:t xml:space="preserve">贴敷疗法、中药涂擦治疗、中药热奄包治疗、中药封包治疗、普通针刺、  </w:t>
            </w:r>
            <w:r>
              <w:rPr>
                <w:spacing w:val="-5"/>
                <w:sz w:val="21"/>
              </w:rPr>
              <w:t>温针、手指点穴、耳针、穴位贴敷治疗、灸法、隔物灸法、拔罐疗法、</w:t>
            </w:r>
            <w:r>
              <w:rPr>
                <w:spacing w:val="-10"/>
                <w:sz w:val="21"/>
              </w:rPr>
              <w:t>游走罐、督灸、颈椎病推拿治疗、骨性关节炎推拿治疗、内科妇科疾病</w:t>
            </w:r>
            <w:r>
              <w:rPr>
                <w:spacing w:val="-9"/>
                <w:sz w:val="21"/>
              </w:rPr>
              <w:t>推拿治疗、刮痧治疗、烫熨治疗等临床安全有效、适宜在家庭病床中开</w:t>
            </w:r>
            <w:r>
              <w:rPr>
                <w:spacing w:val="-5"/>
                <w:sz w:val="21"/>
              </w:rPr>
              <w:t>展的中医非药物疗法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1" w:hRule="atLeast"/>
        </w:trPr>
        <w:tc>
          <w:tcPr>
            <w:tcW w:w="426" w:type="dxa"/>
          </w:tcPr>
          <w:p>
            <w:pPr>
              <w:pStyle w:val="11"/>
              <w:spacing w:before="119"/>
              <w:ind w:left="89" w:right="77"/>
              <w:jc w:val="center"/>
              <w:rPr>
                <w:sz w:val="21"/>
              </w:rPr>
            </w:pPr>
            <w:r>
              <w:rPr>
                <w:sz w:val="21"/>
              </w:rPr>
              <w:t>54</w:t>
            </w:r>
          </w:p>
        </w:tc>
        <w:tc>
          <w:tcPr>
            <w:tcW w:w="426" w:type="dxa"/>
            <w:vMerge w:val="restart"/>
          </w:tcPr>
          <w:p>
            <w:pPr>
              <w:pStyle w:val="11"/>
              <w:spacing w:before="141" w:line="266" w:lineRule="auto"/>
              <w:ind w:left="111" w:right="93"/>
              <w:jc w:val="both"/>
              <w:rPr>
                <w:sz w:val="21"/>
              </w:rPr>
            </w:pPr>
            <w:r>
              <w:rPr>
                <w:sz w:val="21"/>
              </w:rPr>
              <w:t>药品服务</w:t>
            </w:r>
          </w:p>
        </w:tc>
        <w:tc>
          <w:tcPr>
            <w:tcW w:w="1842" w:type="dxa"/>
          </w:tcPr>
          <w:p>
            <w:pPr>
              <w:pStyle w:val="11"/>
              <w:spacing w:before="119"/>
              <w:ind w:left="107"/>
              <w:rPr>
                <w:sz w:val="21"/>
              </w:rPr>
            </w:pPr>
            <w:r>
              <w:rPr>
                <w:sz w:val="21"/>
              </w:rPr>
              <w:t>西药</w:t>
            </w:r>
          </w:p>
        </w:tc>
        <w:tc>
          <w:tcPr>
            <w:tcW w:w="6521" w:type="dxa"/>
            <w:vMerge w:val="restart"/>
          </w:tcPr>
          <w:p>
            <w:pPr>
              <w:pStyle w:val="11"/>
              <w:rPr>
                <w:rFonts w:ascii="Times New Roman"/>
                <w:sz w:val="20"/>
              </w:rPr>
            </w:pPr>
          </w:p>
          <w:p>
            <w:pPr>
              <w:pStyle w:val="11"/>
              <w:rPr>
                <w:rFonts w:ascii="Times New Roman"/>
                <w:sz w:val="20"/>
              </w:rPr>
            </w:pPr>
          </w:p>
          <w:p>
            <w:pPr>
              <w:pStyle w:val="11"/>
              <w:spacing w:before="130"/>
              <w:ind w:left="106"/>
              <w:rPr>
                <w:sz w:val="21"/>
              </w:rPr>
            </w:pPr>
            <w:r>
              <w:rPr>
                <w:sz w:val="21"/>
              </w:rPr>
              <w:t>根据实际需求提供相应的药品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7" w:hRule="atLeast"/>
        </w:trPr>
        <w:tc>
          <w:tcPr>
            <w:tcW w:w="426" w:type="dxa"/>
          </w:tcPr>
          <w:p>
            <w:pPr>
              <w:pStyle w:val="11"/>
              <w:spacing w:before="108"/>
              <w:ind w:left="89" w:right="77"/>
              <w:jc w:val="center"/>
              <w:rPr>
                <w:sz w:val="21"/>
              </w:rPr>
            </w:pPr>
            <w:r>
              <w:rPr>
                <w:sz w:val="21"/>
              </w:rPr>
              <w:t>55</w:t>
            </w:r>
          </w:p>
        </w:tc>
        <w:tc>
          <w:tcPr>
            <w:tcW w:w="426" w:type="dxa"/>
            <w:vMerge w:val="continue"/>
            <w:tcBorders>
              <w:top w:val="nil"/>
            </w:tcBorders>
          </w:tcPr>
          <w:p>
            <w:pPr>
              <w:rPr>
                <w:sz w:val="2"/>
                <w:szCs w:val="2"/>
              </w:rPr>
            </w:pPr>
          </w:p>
        </w:tc>
        <w:tc>
          <w:tcPr>
            <w:tcW w:w="1842" w:type="dxa"/>
          </w:tcPr>
          <w:p>
            <w:pPr>
              <w:pStyle w:val="11"/>
              <w:spacing w:before="108"/>
              <w:ind w:left="107"/>
              <w:rPr>
                <w:sz w:val="21"/>
              </w:rPr>
            </w:pPr>
            <w:r>
              <w:rPr>
                <w:sz w:val="21"/>
              </w:rPr>
              <w:t>中成药</w:t>
            </w:r>
          </w:p>
        </w:tc>
        <w:tc>
          <w:tcPr>
            <w:tcW w:w="652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4" w:hRule="atLeast"/>
        </w:trPr>
        <w:tc>
          <w:tcPr>
            <w:tcW w:w="426" w:type="dxa"/>
          </w:tcPr>
          <w:p>
            <w:pPr>
              <w:pStyle w:val="11"/>
              <w:spacing w:before="111"/>
              <w:ind w:left="89" w:right="77"/>
              <w:jc w:val="center"/>
              <w:rPr>
                <w:sz w:val="21"/>
              </w:rPr>
            </w:pPr>
            <w:r>
              <w:rPr>
                <w:sz w:val="21"/>
              </w:rPr>
              <w:t>56</w:t>
            </w:r>
          </w:p>
        </w:tc>
        <w:tc>
          <w:tcPr>
            <w:tcW w:w="426" w:type="dxa"/>
            <w:vMerge w:val="continue"/>
            <w:tcBorders>
              <w:top w:val="nil"/>
            </w:tcBorders>
          </w:tcPr>
          <w:p>
            <w:pPr>
              <w:rPr>
                <w:sz w:val="2"/>
                <w:szCs w:val="2"/>
              </w:rPr>
            </w:pPr>
          </w:p>
        </w:tc>
        <w:tc>
          <w:tcPr>
            <w:tcW w:w="1842" w:type="dxa"/>
          </w:tcPr>
          <w:p>
            <w:pPr>
              <w:pStyle w:val="11"/>
              <w:spacing w:before="111"/>
              <w:ind w:left="107"/>
              <w:rPr>
                <w:sz w:val="21"/>
              </w:rPr>
            </w:pPr>
            <w:r>
              <w:rPr>
                <w:sz w:val="21"/>
              </w:rPr>
              <w:t>中药饮片</w:t>
            </w:r>
          </w:p>
        </w:tc>
        <w:tc>
          <w:tcPr>
            <w:tcW w:w="652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0" w:hRule="atLeast"/>
        </w:trPr>
        <w:tc>
          <w:tcPr>
            <w:tcW w:w="426" w:type="dxa"/>
          </w:tcPr>
          <w:p>
            <w:pPr>
              <w:pStyle w:val="11"/>
              <w:spacing w:before="6"/>
              <w:rPr>
                <w:rFonts w:ascii="Times New Roman"/>
                <w:sz w:val="19"/>
              </w:rPr>
            </w:pPr>
          </w:p>
          <w:p>
            <w:pPr>
              <w:pStyle w:val="11"/>
              <w:ind w:left="89" w:right="77"/>
              <w:jc w:val="center"/>
              <w:rPr>
                <w:sz w:val="21"/>
              </w:rPr>
            </w:pPr>
            <w:r>
              <w:rPr>
                <w:sz w:val="21"/>
              </w:rPr>
              <w:t>57</w:t>
            </w:r>
          </w:p>
        </w:tc>
        <w:tc>
          <w:tcPr>
            <w:tcW w:w="426" w:type="dxa"/>
            <w:vMerge w:val="restart"/>
          </w:tcPr>
          <w:p>
            <w:pPr>
              <w:pStyle w:val="11"/>
              <w:spacing w:before="11"/>
              <w:rPr>
                <w:rFonts w:ascii="Times New Roman"/>
                <w:sz w:val="16"/>
              </w:rPr>
            </w:pPr>
          </w:p>
          <w:p>
            <w:pPr>
              <w:pStyle w:val="11"/>
              <w:spacing w:line="213" w:lineRule="auto"/>
              <w:ind w:left="111" w:right="93"/>
              <w:jc w:val="both"/>
              <w:rPr>
                <w:sz w:val="21"/>
              </w:rPr>
            </w:pPr>
            <w:r>
              <w:rPr>
                <w:sz w:val="21"/>
              </w:rPr>
              <w:t>指导评估服务项目</w:t>
            </w:r>
          </w:p>
        </w:tc>
        <w:tc>
          <w:tcPr>
            <w:tcW w:w="1842" w:type="dxa"/>
          </w:tcPr>
          <w:p>
            <w:pPr>
              <w:pStyle w:val="11"/>
              <w:spacing w:before="6"/>
              <w:rPr>
                <w:rFonts w:ascii="Times New Roman"/>
                <w:sz w:val="19"/>
              </w:rPr>
            </w:pPr>
          </w:p>
          <w:p>
            <w:pPr>
              <w:pStyle w:val="11"/>
              <w:ind w:left="107"/>
              <w:rPr>
                <w:sz w:val="21"/>
              </w:rPr>
            </w:pPr>
            <w:r>
              <w:rPr>
                <w:sz w:val="21"/>
              </w:rPr>
              <w:t>慢病健康指导</w:t>
            </w:r>
          </w:p>
        </w:tc>
        <w:tc>
          <w:tcPr>
            <w:tcW w:w="6521" w:type="dxa"/>
          </w:tcPr>
          <w:p>
            <w:pPr>
              <w:pStyle w:val="11"/>
              <w:spacing w:before="45" w:line="300" w:lineRule="atLeast"/>
              <w:ind w:left="106" w:right="-15"/>
              <w:rPr>
                <w:sz w:val="21"/>
              </w:rPr>
            </w:pPr>
            <w:r>
              <w:rPr>
                <w:spacing w:val="-17"/>
                <w:w w:val="95"/>
                <w:sz w:val="21"/>
              </w:rPr>
              <w:t xml:space="preserve">高血压、冠心病、脑卒中、恶性肿瘤、糖尿病等慢病的相关知识、症状、  </w:t>
            </w:r>
            <w:r>
              <w:rPr>
                <w:spacing w:val="-10"/>
                <w:sz w:val="21"/>
              </w:rPr>
              <w:t>心理、药物、睡眠等方面的健康指导；慢病常见居家照顾技术的指导等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0" w:hRule="atLeast"/>
        </w:trPr>
        <w:tc>
          <w:tcPr>
            <w:tcW w:w="426" w:type="dxa"/>
          </w:tcPr>
          <w:p>
            <w:pPr>
              <w:pStyle w:val="11"/>
              <w:spacing w:before="7"/>
              <w:rPr>
                <w:rFonts w:ascii="Times New Roman"/>
                <w:sz w:val="19"/>
              </w:rPr>
            </w:pPr>
          </w:p>
          <w:p>
            <w:pPr>
              <w:pStyle w:val="11"/>
              <w:ind w:left="89" w:right="77"/>
              <w:jc w:val="center"/>
              <w:rPr>
                <w:sz w:val="21"/>
              </w:rPr>
            </w:pPr>
            <w:r>
              <w:rPr>
                <w:sz w:val="21"/>
              </w:rPr>
              <w:t>58</w:t>
            </w:r>
          </w:p>
        </w:tc>
        <w:tc>
          <w:tcPr>
            <w:tcW w:w="426" w:type="dxa"/>
            <w:vMerge w:val="continue"/>
            <w:tcBorders>
              <w:top w:val="nil"/>
            </w:tcBorders>
          </w:tcPr>
          <w:p>
            <w:pPr>
              <w:rPr>
                <w:sz w:val="2"/>
                <w:szCs w:val="2"/>
              </w:rPr>
            </w:pPr>
          </w:p>
        </w:tc>
        <w:tc>
          <w:tcPr>
            <w:tcW w:w="1842" w:type="dxa"/>
          </w:tcPr>
          <w:p>
            <w:pPr>
              <w:pStyle w:val="11"/>
              <w:spacing w:before="7"/>
              <w:rPr>
                <w:rFonts w:ascii="Times New Roman"/>
                <w:sz w:val="19"/>
              </w:rPr>
            </w:pPr>
          </w:p>
          <w:p>
            <w:pPr>
              <w:pStyle w:val="11"/>
              <w:ind w:left="107"/>
              <w:rPr>
                <w:sz w:val="21"/>
              </w:rPr>
            </w:pPr>
            <w:r>
              <w:rPr>
                <w:sz w:val="21"/>
              </w:rPr>
              <w:t>护理指导</w:t>
            </w:r>
          </w:p>
        </w:tc>
        <w:tc>
          <w:tcPr>
            <w:tcW w:w="6521" w:type="dxa"/>
          </w:tcPr>
          <w:p>
            <w:pPr>
              <w:pStyle w:val="11"/>
              <w:spacing w:before="43" w:line="300" w:lineRule="atLeast"/>
              <w:ind w:left="106" w:right="92"/>
              <w:rPr>
                <w:sz w:val="21"/>
              </w:rPr>
            </w:pPr>
            <w:r>
              <w:rPr>
                <w:spacing w:val="-10"/>
                <w:w w:val="95"/>
                <w:sz w:val="21"/>
              </w:rPr>
              <w:t xml:space="preserve">指建床后，给予相应疾病的常规护理指导，可以是口头，也可以发放指  </w:t>
            </w:r>
            <w:r>
              <w:rPr>
                <w:spacing w:val="-4"/>
                <w:sz w:val="21"/>
              </w:rPr>
              <w:t>导单页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7" w:hRule="atLeast"/>
        </w:trPr>
        <w:tc>
          <w:tcPr>
            <w:tcW w:w="426" w:type="dxa"/>
          </w:tcPr>
          <w:p>
            <w:pPr>
              <w:pStyle w:val="11"/>
              <w:spacing w:before="7"/>
              <w:rPr>
                <w:rFonts w:ascii="Times New Roman"/>
                <w:sz w:val="28"/>
              </w:rPr>
            </w:pPr>
          </w:p>
          <w:p>
            <w:pPr>
              <w:pStyle w:val="11"/>
              <w:spacing w:before="1"/>
              <w:ind w:left="89" w:right="77"/>
              <w:jc w:val="center"/>
              <w:rPr>
                <w:sz w:val="21"/>
              </w:rPr>
            </w:pPr>
            <w:r>
              <w:rPr>
                <w:sz w:val="21"/>
              </w:rPr>
              <w:t>59</w:t>
            </w:r>
          </w:p>
        </w:tc>
        <w:tc>
          <w:tcPr>
            <w:tcW w:w="426" w:type="dxa"/>
            <w:vMerge w:val="continue"/>
            <w:tcBorders>
              <w:top w:val="nil"/>
            </w:tcBorders>
          </w:tcPr>
          <w:p>
            <w:pPr>
              <w:rPr>
                <w:sz w:val="2"/>
                <w:szCs w:val="2"/>
              </w:rPr>
            </w:pPr>
          </w:p>
        </w:tc>
        <w:tc>
          <w:tcPr>
            <w:tcW w:w="1842" w:type="dxa"/>
          </w:tcPr>
          <w:p>
            <w:pPr>
              <w:pStyle w:val="11"/>
              <w:spacing w:before="7"/>
              <w:rPr>
                <w:rFonts w:ascii="Times New Roman"/>
                <w:sz w:val="28"/>
              </w:rPr>
            </w:pPr>
          </w:p>
          <w:p>
            <w:pPr>
              <w:pStyle w:val="11"/>
              <w:spacing w:before="1"/>
              <w:ind w:left="107"/>
              <w:rPr>
                <w:sz w:val="21"/>
              </w:rPr>
            </w:pPr>
            <w:r>
              <w:rPr>
                <w:sz w:val="21"/>
              </w:rPr>
              <w:t>肢体康复指导</w:t>
            </w:r>
          </w:p>
        </w:tc>
        <w:tc>
          <w:tcPr>
            <w:tcW w:w="6521" w:type="dxa"/>
          </w:tcPr>
          <w:p>
            <w:pPr>
              <w:pStyle w:val="11"/>
              <w:spacing w:before="29" w:line="266" w:lineRule="auto"/>
              <w:ind w:left="106" w:right="92"/>
              <w:rPr>
                <w:sz w:val="21"/>
              </w:rPr>
            </w:pPr>
            <w:r>
              <w:rPr>
                <w:sz w:val="21"/>
              </w:rPr>
              <w:t>对患者肢体功能进行评估；根据需要康复的不同肢体部位制定康复计</w:t>
            </w:r>
            <w:r>
              <w:rPr>
                <w:w w:val="95"/>
                <w:sz w:val="21"/>
              </w:rPr>
              <w:t>划；肢体康复功能训练、监督与指导；效果评估与调整；肢体康复相关</w:t>
            </w:r>
          </w:p>
          <w:p>
            <w:pPr>
              <w:pStyle w:val="11"/>
              <w:spacing w:before="3" w:line="248" w:lineRule="exact"/>
              <w:ind w:left="106"/>
              <w:rPr>
                <w:sz w:val="21"/>
              </w:rPr>
            </w:pPr>
            <w:r>
              <w:rPr>
                <w:sz w:val="21"/>
              </w:rPr>
              <w:t>知识的宣教与指导</w:t>
            </w:r>
          </w:p>
        </w:tc>
      </w:tr>
    </w:tbl>
    <w:p>
      <w:pPr>
        <w:spacing w:after="0" w:line="248" w:lineRule="exact"/>
        <w:rPr>
          <w:sz w:val="21"/>
        </w:rPr>
        <w:sectPr>
          <w:pgSz w:w="11910" w:h="16840"/>
          <w:pgMar w:top="1580" w:right="780" w:bottom="1860" w:left="880" w:header="0" w:footer="1677" w:gutter="0"/>
          <w:pgNumType w:fmt="decimal"/>
          <w:cols w:space="720" w:num="1"/>
        </w:sectPr>
      </w:pPr>
    </w:p>
    <w:p>
      <w:pPr>
        <w:pStyle w:val="4"/>
        <w:rPr>
          <w:rFonts w:ascii="Times New Roman"/>
          <w:sz w:val="20"/>
        </w:rPr>
      </w:pPr>
    </w:p>
    <w:p>
      <w:pPr>
        <w:pStyle w:val="4"/>
        <w:spacing w:before="6"/>
        <w:rPr>
          <w:rFonts w:ascii="Times New Roman"/>
          <w:sz w:val="18"/>
        </w:rPr>
      </w:pPr>
    </w:p>
    <w:tbl>
      <w:tblPr>
        <w:tblStyle w:val="7"/>
        <w:tblW w:w="0" w:type="auto"/>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
        <w:gridCol w:w="426"/>
        <w:gridCol w:w="1842"/>
        <w:gridCol w:w="6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line="300" w:lineRule="exact"/>
              <w:ind w:left="110" w:right="94"/>
              <w:rPr>
                <w:rFonts w:hint="eastAsia" w:ascii="黑体" w:eastAsia="黑体"/>
                <w:sz w:val="21"/>
              </w:rPr>
            </w:pPr>
            <w:r>
              <w:rPr>
                <w:rFonts w:hint="eastAsia" w:ascii="黑体" w:eastAsia="黑体"/>
                <w:sz w:val="21"/>
              </w:rPr>
              <w:t>序号</w:t>
            </w:r>
          </w:p>
        </w:tc>
        <w:tc>
          <w:tcPr>
            <w:tcW w:w="426" w:type="dxa"/>
          </w:tcPr>
          <w:p>
            <w:pPr>
              <w:pStyle w:val="11"/>
              <w:spacing w:line="300" w:lineRule="exact"/>
              <w:ind w:left="111" w:right="93"/>
              <w:rPr>
                <w:rFonts w:hint="eastAsia" w:ascii="黑体" w:eastAsia="黑体"/>
                <w:sz w:val="21"/>
              </w:rPr>
            </w:pPr>
            <w:r>
              <w:rPr>
                <w:rFonts w:hint="eastAsia" w:ascii="黑体" w:eastAsia="黑体"/>
                <w:sz w:val="21"/>
              </w:rPr>
              <w:t>类别</w:t>
            </w:r>
          </w:p>
        </w:tc>
        <w:tc>
          <w:tcPr>
            <w:tcW w:w="1842" w:type="dxa"/>
          </w:tcPr>
          <w:p>
            <w:pPr>
              <w:pStyle w:val="11"/>
              <w:spacing w:before="8"/>
              <w:rPr>
                <w:rFonts w:ascii="Times New Roman"/>
                <w:sz w:val="15"/>
              </w:rPr>
            </w:pPr>
          </w:p>
          <w:p>
            <w:pPr>
              <w:pStyle w:val="11"/>
              <w:ind w:left="513"/>
              <w:rPr>
                <w:rFonts w:hint="eastAsia" w:ascii="黑体" w:hAnsi="黑体" w:eastAsia="黑体"/>
                <w:sz w:val="21"/>
              </w:rPr>
            </w:pPr>
            <w:r>
              <w:rPr>
                <w:rFonts w:hint="eastAsia" w:ascii="黑体" w:hAnsi="黑体" w:eastAsia="黑体"/>
                <w:sz w:val="21"/>
              </w:rPr>
              <w:t>Ⅰ级项目</w:t>
            </w:r>
          </w:p>
        </w:tc>
        <w:tc>
          <w:tcPr>
            <w:tcW w:w="6521" w:type="dxa"/>
          </w:tcPr>
          <w:p>
            <w:pPr>
              <w:pStyle w:val="11"/>
              <w:spacing w:before="8"/>
              <w:rPr>
                <w:rFonts w:ascii="Times New Roman"/>
                <w:sz w:val="15"/>
              </w:rPr>
            </w:pPr>
          </w:p>
          <w:p>
            <w:pPr>
              <w:pStyle w:val="11"/>
              <w:ind w:left="110" w:right="96"/>
              <w:jc w:val="center"/>
              <w:rPr>
                <w:rFonts w:hint="eastAsia" w:ascii="黑体" w:eastAsia="黑体"/>
                <w:sz w:val="21"/>
              </w:rPr>
            </w:pPr>
            <w:r>
              <w:rPr>
                <w:rFonts w:hint="eastAsia" w:ascii="黑体" w:eastAsia="黑体"/>
                <w:sz w:val="21"/>
              </w:rPr>
              <w:t>项目内容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426" w:type="dxa"/>
          </w:tcPr>
          <w:p>
            <w:pPr>
              <w:pStyle w:val="11"/>
              <w:spacing w:before="7"/>
              <w:rPr>
                <w:rFonts w:ascii="Times New Roman"/>
                <w:sz w:val="28"/>
              </w:rPr>
            </w:pPr>
          </w:p>
          <w:p>
            <w:pPr>
              <w:pStyle w:val="11"/>
              <w:ind w:left="89" w:right="77"/>
              <w:jc w:val="center"/>
              <w:rPr>
                <w:sz w:val="21"/>
              </w:rPr>
            </w:pPr>
            <w:r>
              <w:rPr>
                <w:sz w:val="21"/>
              </w:rPr>
              <w:t>60</w:t>
            </w:r>
          </w:p>
        </w:tc>
        <w:tc>
          <w:tcPr>
            <w:tcW w:w="426" w:type="dxa"/>
            <w:vMerge w:val="restart"/>
          </w:tcPr>
          <w:p>
            <w:pPr>
              <w:pStyle w:val="11"/>
              <w:spacing w:before="15" w:line="300" w:lineRule="atLeast"/>
              <w:ind w:left="111" w:right="93"/>
              <w:jc w:val="both"/>
              <w:rPr>
                <w:sz w:val="21"/>
              </w:rPr>
            </w:pPr>
            <w:r>
              <w:rPr>
                <w:sz w:val="21"/>
              </w:rPr>
              <w:t>指导评估服务项目</w:t>
            </w:r>
          </w:p>
        </w:tc>
        <w:tc>
          <w:tcPr>
            <w:tcW w:w="1842" w:type="dxa"/>
          </w:tcPr>
          <w:p>
            <w:pPr>
              <w:pStyle w:val="11"/>
              <w:spacing w:before="7"/>
              <w:rPr>
                <w:rFonts w:ascii="Times New Roman"/>
                <w:sz w:val="28"/>
              </w:rPr>
            </w:pPr>
          </w:p>
          <w:p>
            <w:pPr>
              <w:pStyle w:val="11"/>
              <w:ind w:left="107"/>
              <w:rPr>
                <w:sz w:val="21"/>
              </w:rPr>
            </w:pPr>
            <w:r>
              <w:rPr>
                <w:sz w:val="21"/>
              </w:rPr>
              <w:t>功能康复指导</w:t>
            </w:r>
          </w:p>
        </w:tc>
        <w:tc>
          <w:tcPr>
            <w:tcW w:w="6521" w:type="dxa"/>
          </w:tcPr>
          <w:p>
            <w:pPr>
              <w:pStyle w:val="11"/>
              <w:spacing w:before="29" w:line="266" w:lineRule="auto"/>
              <w:ind w:left="106" w:right="73"/>
              <w:rPr>
                <w:sz w:val="21"/>
              </w:rPr>
            </w:pPr>
            <w:r>
              <w:rPr>
                <w:spacing w:val="-6"/>
                <w:w w:val="95"/>
                <w:sz w:val="21"/>
              </w:rPr>
              <w:t xml:space="preserve">评估患者功能状况和障碍程度；进行相关功能康复知识及方法的指导，  </w:t>
            </w:r>
            <w:r>
              <w:rPr>
                <w:spacing w:val="-8"/>
                <w:w w:val="95"/>
                <w:sz w:val="21"/>
              </w:rPr>
              <w:t>包括呼吸功能锻炼指导、自理能力训练指导、认知功能评定、</w:t>
            </w:r>
            <w:r>
              <w:fldChar w:fldCharType="begin"/>
            </w:r>
            <w:r>
              <w:instrText xml:space="preserve"> HYPERLINK "https://www.baidu.com/s?wd=%E5%BF%83%E8%82%BA%E5%8A%9F%E8%83%BD&amp;amp;tn=SE_PcZhidaonwhc_ngpagmjz&amp;amp;rsv_dl=gh_pc_zhidao" \h </w:instrText>
            </w:r>
            <w:r>
              <w:fldChar w:fldCharType="separate"/>
            </w:r>
            <w:r>
              <w:rPr>
                <w:spacing w:val="-4"/>
                <w:w w:val="95"/>
                <w:sz w:val="21"/>
              </w:rPr>
              <w:t>心肺功能</w:t>
            </w:r>
            <w:r>
              <w:rPr>
                <w:spacing w:val="-4"/>
                <w:w w:val="95"/>
                <w:sz w:val="21"/>
              </w:rPr>
              <w:fldChar w:fldCharType="end"/>
            </w:r>
          </w:p>
          <w:p>
            <w:pPr>
              <w:pStyle w:val="11"/>
              <w:spacing w:before="3" w:line="251" w:lineRule="exact"/>
              <w:ind w:left="106"/>
              <w:rPr>
                <w:sz w:val="21"/>
              </w:rPr>
            </w:pPr>
            <w:r>
              <w:fldChar w:fldCharType="begin"/>
            </w:r>
            <w:r>
              <w:instrText xml:space="preserve"> HYPERLINK "https://www.baidu.com/s?wd=%E5%BF%83%E8%82%BA%E5%8A%9F%E8%83%BD&amp;amp;tn=SE_PcZhidaonwhc_ngpagmjz&amp;amp;rsv_dl=gh_pc_zhidao" \h </w:instrText>
            </w:r>
            <w:r>
              <w:fldChar w:fldCharType="separate"/>
            </w:r>
            <w:r>
              <w:rPr>
                <w:sz w:val="21"/>
              </w:rPr>
              <w:t>评</w:t>
            </w:r>
            <w:r>
              <w:rPr>
                <w:sz w:val="21"/>
              </w:rPr>
              <w:fldChar w:fldCharType="end"/>
            </w:r>
            <w:r>
              <w:rPr>
                <w:sz w:val="21"/>
              </w:rPr>
              <w:t>定及协调与平衡功能评定等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7"/>
              <w:rPr>
                <w:rFonts w:ascii="Times New Roman"/>
                <w:sz w:val="15"/>
              </w:rPr>
            </w:pPr>
          </w:p>
          <w:p>
            <w:pPr>
              <w:pStyle w:val="11"/>
              <w:ind w:left="89" w:right="77"/>
              <w:jc w:val="center"/>
              <w:rPr>
                <w:sz w:val="21"/>
              </w:rPr>
            </w:pPr>
            <w:r>
              <w:rPr>
                <w:sz w:val="21"/>
              </w:rPr>
              <w:t>61</w:t>
            </w:r>
          </w:p>
        </w:tc>
        <w:tc>
          <w:tcPr>
            <w:tcW w:w="426" w:type="dxa"/>
            <w:vMerge w:val="continue"/>
            <w:tcBorders>
              <w:top w:val="nil"/>
            </w:tcBorders>
          </w:tcPr>
          <w:p>
            <w:pPr>
              <w:rPr>
                <w:sz w:val="2"/>
                <w:szCs w:val="2"/>
              </w:rPr>
            </w:pPr>
          </w:p>
        </w:tc>
        <w:tc>
          <w:tcPr>
            <w:tcW w:w="1842" w:type="dxa"/>
          </w:tcPr>
          <w:p>
            <w:pPr>
              <w:pStyle w:val="11"/>
              <w:spacing w:before="29"/>
              <w:ind w:left="107"/>
              <w:rPr>
                <w:sz w:val="21"/>
              </w:rPr>
            </w:pPr>
            <w:r>
              <w:rPr>
                <w:sz w:val="21"/>
              </w:rPr>
              <w:t>康复辅助器具使</w:t>
            </w:r>
          </w:p>
          <w:p>
            <w:pPr>
              <w:pStyle w:val="11"/>
              <w:spacing w:before="31" w:line="251" w:lineRule="exact"/>
              <w:ind w:left="107"/>
              <w:rPr>
                <w:sz w:val="21"/>
              </w:rPr>
            </w:pPr>
            <w:r>
              <w:rPr>
                <w:sz w:val="21"/>
              </w:rPr>
              <w:t>用指导</w:t>
            </w:r>
          </w:p>
        </w:tc>
        <w:tc>
          <w:tcPr>
            <w:tcW w:w="6521" w:type="dxa"/>
          </w:tcPr>
          <w:p>
            <w:pPr>
              <w:pStyle w:val="11"/>
              <w:spacing w:before="29"/>
              <w:ind w:left="106"/>
              <w:rPr>
                <w:sz w:val="21"/>
              </w:rPr>
            </w:pPr>
            <w:r>
              <w:rPr>
                <w:spacing w:val="-5"/>
                <w:sz w:val="21"/>
              </w:rPr>
              <w:t>评估患者躯体状态，选择合适的辅助器具（轮椅、拐杖、助行器等</w:t>
            </w:r>
            <w:r>
              <w:rPr>
                <w:spacing w:val="-3"/>
                <w:sz w:val="21"/>
              </w:rPr>
              <w:t>）；</w:t>
            </w:r>
          </w:p>
          <w:p>
            <w:pPr>
              <w:pStyle w:val="11"/>
              <w:spacing w:before="31" w:line="251" w:lineRule="exact"/>
              <w:ind w:left="106"/>
              <w:rPr>
                <w:sz w:val="21"/>
              </w:rPr>
            </w:pPr>
            <w:r>
              <w:rPr>
                <w:sz w:val="21"/>
              </w:rPr>
              <w:t>各类辅助器具使用方法指导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26" w:type="dxa"/>
          </w:tcPr>
          <w:p>
            <w:pPr>
              <w:pStyle w:val="11"/>
              <w:spacing w:before="180"/>
              <w:ind w:left="89" w:right="77"/>
              <w:jc w:val="center"/>
              <w:rPr>
                <w:sz w:val="21"/>
              </w:rPr>
            </w:pPr>
            <w:r>
              <w:rPr>
                <w:sz w:val="21"/>
              </w:rPr>
              <w:t>62</w:t>
            </w:r>
          </w:p>
        </w:tc>
        <w:tc>
          <w:tcPr>
            <w:tcW w:w="426" w:type="dxa"/>
            <w:vMerge w:val="continue"/>
            <w:tcBorders>
              <w:top w:val="nil"/>
            </w:tcBorders>
          </w:tcPr>
          <w:p>
            <w:pPr>
              <w:rPr>
                <w:sz w:val="2"/>
                <w:szCs w:val="2"/>
              </w:rPr>
            </w:pPr>
          </w:p>
        </w:tc>
        <w:tc>
          <w:tcPr>
            <w:tcW w:w="1842" w:type="dxa"/>
          </w:tcPr>
          <w:p>
            <w:pPr>
              <w:pStyle w:val="11"/>
              <w:spacing w:before="180"/>
              <w:ind w:left="107"/>
              <w:rPr>
                <w:sz w:val="21"/>
              </w:rPr>
            </w:pPr>
            <w:r>
              <w:rPr>
                <w:sz w:val="21"/>
              </w:rPr>
              <w:t>康复评定</w:t>
            </w:r>
          </w:p>
        </w:tc>
        <w:tc>
          <w:tcPr>
            <w:tcW w:w="6521" w:type="dxa"/>
          </w:tcPr>
          <w:p>
            <w:pPr>
              <w:pStyle w:val="11"/>
              <w:spacing w:before="31"/>
              <w:ind w:left="106"/>
              <w:rPr>
                <w:sz w:val="21"/>
              </w:rPr>
            </w:pPr>
            <w:r>
              <w:rPr>
                <w:spacing w:val="-11"/>
                <w:sz w:val="21"/>
              </w:rPr>
              <w:t xml:space="preserve">限有明确的功能障碍；评定由 </w:t>
            </w:r>
            <w:r>
              <w:rPr>
                <w:sz w:val="21"/>
              </w:rPr>
              <w:t>3</w:t>
            </w:r>
            <w:r>
              <w:rPr>
                <w:spacing w:val="-18"/>
                <w:sz w:val="21"/>
              </w:rPr>
              <w:t xml:space="preserve"> 名以上专业人员开展，至少包含 </w:t>
            </w:r>
            <w:r>
              <w:rPr>
                <w:sz w:val="21"/>
              </w:rPr>
              <w:t>2</w:t>
            </w:r>
            <w:r>
              <w:rPr>
                <w:spacing w:val="-24"/>
                <w:sz w:val="21"/>
              </w:rPr>
              <w:t xml:space="preserve"> 个评</w:t>
            </w:r>
          </w:p>
          <w:p>
            <w:pPr>
              <w:pStyle w:val="11"/>
              <w:spacing w:before="31" w:line="249" w:lineRule="exact"/>
              <w:ind w:left="106"/>
              <w:rPr>
                <w:sz w:val="21"/>
              </w:rPr>
            </w:pPr>
            <w:r>
              <w:rPr>
                <w:sz w:val="21"/>
              </w:rPr>
              <w:t>估项目；两次评定间隔时间不短于 14 天（含咨询）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26" w:type="dxa"/>
          </w:tcPr>
          <w:p>
            <w:pPr>
              <w:pStyle w:val="11"/>
              <w:spacing w:before="30" w:line="249" w:lineRule="exact"/>
              <w:ind w:left="89" w:right="77"/>
              <w:jc w:val="center"/>
              <w:rPr>
                <w:sz w:val="21"/>
              </w:rPr>
            </w:pPr>
            <w:r>
              <w:rPr>
                <w:sz w:val="21"/>
              </w:rPr>
              <w:t>63</w:t>
            </w:r>
          </w:p>
        </w:tc>
        <w:tc>
          <w:tcPr>
            <w:tcW w:w="426" w:type="dxa"/>
            <w:vMerge w:val="continue"/>
            <w:tcBorders>
              <w:top w:val="nil"/>
            </w:tcBorders>
          </w:tcPr>
          <w:p>
            <w:pPr>
              <w:rPr>
                <w:sz w:val="2"/>
                <w:szCs w:val="2"/>
              </w:rPr>
            </w:pPr>
          </w:p>
        </w:tc>
        <w:tc>
          <w:tcPr>
            <w:tcW w:w="1842" w:type="dxa"/>
          </w:tcPr>
          <w:p>
            <w:pPr>
              <w:pStyle w:val="11"/>
              <w:spacing w:before="30" w:line="249" w:lineRule="exact"/>
              <w:ind w:left="107"/>
              <w:rPr>
                <w:sz w:val="21"/>
              </w:rPr>
            </w:pPr>
            <w:r>
              <w:rPr>
                <w:sz w:val="21"/>
              </w:rPr>
              <w:t>中医养生指导</w:t>
            </w:r>
          </w:p>
        </w:tc>
        <w:tc>
          <w:tcPr>
            <w:tcW w:w="6521" w:type="dxa"/>
          </w:tcPr>
          <w:p>
            <w:pPr>
              <w:pStyle w:val="11"/>
              <w:spacing w:before="30" w:line="249" w:lineRule="exact"/>
              <w:ind w:left="110" w:right="98"/>
              <w:jc w:val="center"/>
              <w:rPr>
                <w:sz w:val="21"/>
              </w:rPr>
            </w:pPr>
            <w:r>
              <w:rPr>
                <w:spacing w:val="-8"/>
                <w:sz w:val="21"/>
              </w:rPr>
              <w:t>指建床后，对患者进行中医体质辨识，给予相应的中医药养生保健指导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426" w:type="dxa"/>
          </w:tcPr>
          <w:p>
            <w:pPr>
              <w:pStyle w:val="11"/>
              <w:rPr>
                <w:rFonts w:ascii="Times New Roman"/>
                <w:sz w:val="20"/>
              </w:rPr>
            </w:pPr>
          </w:p>
          <w:p>
            <w:pPr>
              <w:pStyle w:val="11"/>
              <w:rPr>
                <w:rFonts w:ascii="Times New Roman"/>
                <w:sz w:val="20"/>
              </w:rPr>
            </w:pPr>
          </w:p>
          <w:p>
            <w:pPr>
              <w:pStyle w:val="11"/>
              <w:rPr>
                <w:rFonts w:ascii="Times New Roman"/>
                <w:sz w:val="20"/>
              </w:rPr>
            </w:pPr>
          </w:p>
          <w:p>
            <w:pPr>
              <w:pStyle w:val="11"/>
              <w:rPr>
                <w:rFonts w:ascii="Times New Roman"/>
                <w:sz w:val="20"/>
              </w:rPr>
            </w:pPr>
          </w:p>
          <w:p>
            <w:pPr>
              <w:pStyle w:val="11"/>
              <w:spacing w:before="159"/>
              <w:ind w:left="89" w:right="77"/>
              <w:jc w:val="center"/>
              <w:rPr>
                <w:sz w:val="21"/>
              </w:rPr>
            </w:pPr>
            <w:r>
              <w:rPr>
                <w:sz w:val="21"/>
              </w:rPr>
              <w:t>64</w:t>
            </w:r>
          </w:p>
        </w:tc>
        <w:tc>
          <w:tcPr>
            <w:tcW w:w="426" w:type="dxa"/>
          </w:tcPr>
          <w:p>
            <w:pPr>
              <w:pStyle w:val="11"/>
              <w:spacing w:line="300" w:lineRule="exact"/>
              <w:ind w:left="111" w:right="93"/>
              <w:jc w:val="both"/>
              <w:rPr>
                <w:sz w:val="21"/>
              </w:rPr>
            </w:pPr>
            <w:r>
              <w:rPr>
                <w:sz w:val="21"/>
              </w:rPr>
              <w:t>安宁疗护服务项目</w:t>
            </w:r>
          </w:p>
        </w:tc>
        <w:tc>
          <w:tcPr>
            <w:tcW w:w="1842" w:type="dxa"/>
          </w:tcPr>
          <w:p>
            <w:pPr>
              <w:pStyle w:val="11"/>
              <w:rPr>
                <w:rFonts w:ascii="Times New Roman"/>
                <w:sz w:val="20"/>
              </w:rPr>
            </w:pPr>
          </w:p>
          <w:p>
            <w:pPr>
              <w:pStyle w:val="11"/>
              <w:rPr>
                <w:rFonts w:ascii="Times New Roman"/>
                <w:sz w:val="20"/>
              </w:rPr>
            </w:pPr>
          </w:p>
          <w:p>
            <w:pPr>
              <w:pStyle w:val="11"/>
              <w:rPr>
                <w:rFonts w:ascii="Times New Roman"/>
                <w:sz w:val="20"/>
              </w:rPr>
            </w:pPr>
          </w:p>
          <w:p>
            <w:pPr>
              <w:pStyle w:val="11"/>
              <w:spacing w:before="10"/>
              <w:rPr>
                <w:rFonts w:ascii="Times New Roman"/>
                <w:sz w:val="20"/>
              </w:rPr>
            </w:pPr>
          </w:p>
          <w:p>
            <w:pPr>
              <w:pStyle w:val="11"/>
              <w:spacing w:line="266" w:lineRule="auto"/>
              <w:ind w:left="107" w:right="232"/>
              <w:rPr>
                <w:sz w:val="21"/>
              </w:rPr>
            </w:pPr>
            <w:r>
              <w:rPr>
                <w:sz w:val="21"/>
              </w:rPr>
              <w:t>居家安宁疗护医疗护理</w:t>
            </w:r>
          </w:p>
        </w:tc>
        <w:tc>
          <w:tcPr>
            <w:tcW w:w="6521" w:type="dxa"/>
          </w:tcPr>
          <w:p>
            <w:pPr>
              <w:pStyle w:val="11"/>
              <w:spacing w:before="179" w:line="266" w:lineRule="auto"/>
              <w:ind w:left="106" w:right="-15"/>
              <w:rPr>
                <w:sz w:val="21"/>
              </w:rPr>
            </w:pPr>
            <w:r>
              <w:rPr>
                <w:spacing w:val="-10"/>
                <w:sz w:val="21"/>
              </w:rPr>
              <w:t>医疗：定期进行居家探访，协调家庭病床患者的治疗和照顾方案，提供</w:t>
            </w:r>
            <w:r>
              <w:rPr>
                <w:spacing w:val="-8"/>
                <w:sz w:val="21"/>
              </w:rPr>
              <w:t>不同的支持治疗，减轻患者痛楚、舒缓不适，并以药物及其他辅助方法</w:t>
            </w:r>
            <w:r>
              <w:rPr>
                <w:spacing w:val="-13"/>
                <w:w w:val="95"/>
                <w:sz w:val="21"/>
              </w:rPr>
              <w:t xml:space="preserve">尽可能地舒解身体各种疼痛和其他不适，维护患者的尊严，让患者安静、  </w:t>
            </w:r>
            <w:r>
              <w:rPr>
                <w:spacing w:val="-8"/>
                <w:sz w:val="21"/>
              </w:rPr>
              <w:t>安详地走向生命的最后阶段。护理：评估居家安宁疗护环境、患者需求</w:t>
            </w:r>
            <w:r>
              <w:rPr>
                <w:spacing w:val="-9"/>
                <w:sz w:val="21"/>
              </w:rPr>
              <w:t>及心愿；制定安宁照护方案及营养支持方案；患者转介安排与指导；提</w:t>
            </w:r>
            <w:r>
              <w:rPr>
                <w:spacing w:val="-7"/>
                <w:sz w:val="21"/>
              </w:rPr>
              <w:t>供遗体护理及丧葬准备与指导；提供家属心理咨询和哀伤辅导；对患者</w:t>
            </w:r>
            <w:r>
              <w:rPr>
                <w:spacing w:val="-5"/>
                <w:sz w:val="21"/>
              </w:rPr>
              <w:t>家庭照顾者的教育和培训</w:t>
            </w:r>
          </w:p>
        </w:tc>
      </w:tr>
    </w:tbl>
    <w:p>
      <w:pPr>
        <w:pStyle w:val="4"/>
        <w:rPr>
          <w:rFonts w:ascii="宋体"/>
          <w:sz w:val="20"/>
        </w:rPr>
      </w:pPr>
    </w:p>
    <w:sectPr>
      <w:footerReference r:id="rId7" w:type="default"/>
      <w:footerReference r:id="rId8" w:type="even"/>
      <w:pgSz w:w="11910" w:h="16840"/>
      <w:pgMar w:top="1580" w:right="780" w:bottom="1940" w:left="880" w:header="0" w:footer="167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35330" cy="260985"/>
              <wp:effectExtent l="0" t="0" r="0" b="0"/>
              <wp:wrapNone/>
              <wp:docPr id="19" name="文本框 4"/>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wps:spPr>
                    <wps:txbx>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11</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4" o:spid="_x0000_s1026" o:spt="202" type="#_x0000_t202" style="position:absolute;left:0pt;margin-top:0pt;height:20.55pt;width:57.9pt;mso-position-horizontal:outside;mso-position-horizontal-relative:margin;z-index:251660288;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7HtUNMAAAAEAQAADwAAAAAAAAABACAAAAAiAAAAZHJzL2Rvd25yZXYueG1sUEsBAhQAFAAA&#10;AAgAh07iQNIjQeq7AQAAcgMAAA4AAAAAAAAAAQAgAAAAIgEAAGRycy9lMm9Eb2MueG1sUEsFBgAA&#10;AAAGAAYAWQEAAE8FAAAAAA==&#10;">
              <v:fill on="f" focussize="0,0"/>
              <v:stroke on="f"/>
              <v:imagedata o:title=""/>
              <o:lock v:ext="edit" aspectratio="f"/>
              <v:textbox inset="0mm,0mm,0mm,0mm">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11</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3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9436735</wp:posOffset>
              </wp:positionV>
              <wp:extent cx="735330" cy="260985"/>
              <wp:effectExtent l="0" t="0" r="0" b="0"/>
              <wp:wrapNone/>
              <wp:docPr id="18" name="文本框 3"/>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wps:spPr>
                    <wps:txbx>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hint="eastAsia" w:ascii="微软雅黑" w:hAnsi="微软雅黑"/>
                              <w:sz w:val="28"/>
                              <w:lang w:val="en-US" w:eastAsia="zh-CN"/>
                            </w:rPr>
                            <w:t>2</w:t>
                          </w:r>
                          <w:r>
                            <w:rPr>
                              <w:rFonts w:ascii="宋体" w:hAnsi="宋体"/>
                              <w:spacing w:val="-71"/>
                              <w:sz w:val="28"/>
                            </w:rPr>
                            <w:t xml:space="preserve"> </w:t>
                          </w:r>
                          <w:r>
                            <w:rPr>
                              <w:rFonts w:ascii="微软雅黑" w:hAnsi="微软雅黑"/>
                              <w:sz w:val="28"/>
                            </w:rPr>
                            <w:t>—</w:t>
                          </w:r>
                        </w:p>
                      </w:txbxContent>
                    </wps:txbx>
                    <wps:bodyPr lIns="0" tIns="0" rIns="0" bIns="0" upright="1"/>
                  </wps:wsp>
                </a:graphicData>
              </a:graphic>
            </wp:anchor>
          </w:drawing>
        </mc:Choice>
        <mc:Fallback>
          <w:pict>
            <v:shape id="文本框 3" o:spid="_x0000_s1026" o:spt="202" type="#_x0000_t202" style="position:absolute;left:0pt;margin-left:89pt;margin-top:743.05pt;height:20.55pt;width:57.9pt;mso-position-horizontal-relative:page;mso-position-vertical-relative:page;z-index:-251657216;mso-width-relative:page;mso-height-relative:page;" filled="f" stroked="f" coordsize="21600,21600" o:gfxdata="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A6hFLbAAAADQEAAA8AAAAAAAAAAQAgAAAAIgAAAGRycy9kb3ducmV2LnhtbFBL&#10;AQIUABQAAAAIAIdO4kACYuV9ugEAAHIDAAAOAAAAAAAAAAEAIAAAACoBAABkcnMvZTJvRG9jLnht&#10;bFBLBQYAAAAABgAGAFkBAABWBQAAAAA=&#10;">
              <v:fill on="f" focussize="0,0"/>
              <v:stroke on="f"/>
              <v:imagedata o:title=""/>
              <o:lock v:ext="edit" aspectratio="f"/>
              <v:textbox inset="0mm,0mm,0mm,0mm">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hint="eastAsia" w:ascii="微软雅黑" w:hAnsi="微软雅黑"/>
                        <w:sz w:val="28"/>
                        <w:lang w:val="en-US" w:eastAsia="zh-CN"/>
                      </w:rPr>
                      <w:t>2</w:t>
                    </w:r>
                    <w:r>
                      <w:rPr>
                        <w:rFonts w:ascii="宋体" w:hAnsi="宋体"/>
                        <w:spacing w:val="-71"/>
                        <w:sz w:val="28"/>
                      </w:rPr>
                      <w:t xml:space="preserve"> </w:t>
                    </w:r>
                    <w:r>
                      <w:rPr>
                        <w:rFonts w:ascii="微软雅黑" w:hAnsi="微软雅黑"/>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735330" cy="260985"/>
              <wp:effectExtent l="0" t="0" r="0" b="0"/>
              <wp:wrapNone/>
              <wp:docPr id="23" name="文本框 8"/>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wps:spPr>
                    <wps:txbx>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13</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8" o:spid="_x0000_s1026" o:spt="202" type="#_x0000_t202" style="position:absolute;left:0pt;margin-top:0pt;height:20.55pt;width:57.9pt;mso-position-horizontal:outside;mso-position-horizontal-relative:margin;z-index:251662336;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7HtUNMAAAAEAQAADwAAAAAAAAABACAAAAAiAAAAZHJzL2Rvd25yZXYueG1sUEsBAhQAFAAA&#10;AAgAh07iQA8yOx67AQAAcgMAAA4AAAAAAAAAAQAgAAAAIgEAAGRycy9lMm9Eb2MueG1sUEsFBgAA&#10;AAAGAAYAWQEAAE8FAAAAAA==&#10;">
              <v:fill on="f" focussize="0,0"/>
              <v:stroke on="f"/>
              <v:imagedata o:title=""/>
              <o:lock v:ext="edit" aspectratio="f"/>
              <v:textbox inset="0mm,0mm,0mm,0mm">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13</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735330" cy="260985"/>
              <wp:effectExtent l="0" t="0" r="0" b="0"/>
              <wp:wrapNone/>
              <wp:docPr id="22" name="文本框 7"/>
              <wp:cNvGraphicFramePr/>
              <a:graphic xmlns:a="http://schemas.openxmlformats.org/drawingml/2006/main">
                <a:graphicData uri="http://schemas.microsoft.com/office/word/2010/wordprocessingShape">
                  <wps:wsp>
                    <wps:cNvSpPr txBox="1"/>
                    <wps:spPr>
                      <a:xfrm>
                        <a:off x="0" y="0"/>
                        <a:ext cx="735330" cy="260985"/>
                      </a:xfrm>
                      <a:prstGeom prst="rect">
                        <a:avLst/>
                      </a:prstGeom>
                      <a:noFill/>
                      <a:ln>
                        <a:noFill/>
                      </a:ln>
                    </wps:spPr>
                    <wps:txbx>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10</w:t>
                          </w:r>
                          <w:r>
                            <w:rPr>
                              <w:rFonts w:ascii="微软雅黑" w:hAnsi="微软雅黑"/>
                              <w:sz w:val="28"/>
                            </w:rPr>
                            <w:fldChar w:fldCharType="end"/>
                          </w:r>
                          <w:r>
                            <w:rPr>
                              <w:rFonts w:ascii="微软雅黑" w:hAnsi="微软雅黑"/>
                              <w:sz w:val="28"/>
                            </w:rPr>
                            <w:t xml:space="preserve"> —</w:t>
                          </w:r>
                        </w:p>
                      </w:txbxContent>
                    </wps:txbx>
                    <wps:bodyPr lIns="0" tIns="0" rIns="0" bIns="0" upright="1"/>
                  </wps:wsp>
                </a:graphicData>
              </a:graphic>
            </wp:anchor>
          </w:drawing>
        </mc:Choice>
        <mc:Fallback>
          <w:pict>
            <v:shape id="文本框 7" o:spid="_x0000_s1026" o:spt="202" type="#_x0000_t202" style="position:absolute;left:0pt;margin-top:0pt;height:20.55pt;width:57.9pt;mso-position-horizontal:outside;mso-position-horizontal-relative:margin;z-index:251661312;mso-width-relative:page;mso-height-relative:page;" filled="f" stroked="f" coordsize="21600,21600" o:gfxdata="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Hse1Q0wAAAAQBAAAPAAAAAAAAAAEAIAAAACIAAABkcnMvZG93bnJldi54bWxQSwECFAAUAAAA&#10;CACHTuJAbM5dcboBAAByAwAADgAAAAAAAAABACAAAAAiAQAAZHJzL2Uyb0RvYy54bWxQSwUGAAAA&#10;AAYABgBZAQAATgUAAAAA&#10;">
              <v:fill on="f" focussize="0,0"/>
              <v:stroke on="f"/>
              <v:imagedata o:title=""/>
              <o:lock v:ext="edit" aspectratio="f"/>
              <v:textbox inset="0mm,0mm,0mm,0mm">
                <w:txbxContent>
                  <w:p>
                    <w:pPr>
                      <w:spacing w:before="0" w:line="411" w:lineRule="exact"/>
                      <w:ind w:left="20" w:right="0" w:firstLine="0"/>
                      <w:jc w:val="left"/>
                      <w:rPr>
                        <w:rFonts w:ascii="微软雅黑" w:hAnsi="微软雅黑"/>
                        <w:sz w:val="28"/>
                      </w:rPr>
                    </w:pPr>
                    <w:r>
                      <w:rPr>
                        <w:rFonts w:ascii="微软雅黑" w:hAnsi="微软雅黑"/>
                        <w:sz w:val="28"/>
                      </w:rPr>
                      <w:t xml:space="preserve">— </w:t>
                    </w:r>
                    <w:r>
                      <w:rPr>
                        <w:rFonts w:ascii="微软雅黑" w:hAnsi="微软雅黑"/>
                        <w:sz w:val="28"/>
                      </w:rPr>
                      <w:fldChar w:fldCharType="begin"/>
                    </w:r>
                    <w:r>
                      <w:rPr>
                        <w:rFonts w:ascii="微软雅黑" w:hAnsi="微软雅黑"/>
                        <w:sz w:val="28"/>
                      </w:rPr>
                      <w:instrText xml:space="preserve"> PAGE  \* MERGEFORMAT </w:instrText>
                    </w:r>
                    <w:r>
                      <w:rPr>
                        <w:rFonts w:ascii="微软雅黑" w:hAnsi="微软雅黑"/>
                        <w:sz w:val="28"/>
                      </w:rPr>
                      <w:fldChar w:fldCharType="separate"/>
                    </w:r>
                    <w:r>
                      <w:rPr>
                        <w:rFonts w:ascii="微软雅黑" w:hAnsi="微软雅黑"/>
                        <w:sz w:val="28"/>
                      </w:rPr>
                      <w:t>10</w:t>
                    </w:r>
                    <w:r>
                      <w:rPr>
                        <w:rFonts w:ascii="微软雅黑" w:hAnsi="微软雅黑"/>
                        <w:sz w:val="28"/>
                      </w:rPr>
                      <w:fldChar w:fldCharType="end"/>
                    </w:r>
                    <w:r>
                      <w:rPr>
                        <w:rFonts w:ascii="微软雅黑" w:hAnsi="微软雅黑"/>
                        <w:sz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8000E9"/>
    <w:rsid w:val="427A7F19"/>
    <w:rsid w:val="52E75784"/>
    <w:rsid w:val="56385951"/>
    <w:rsid w:val="64901090"/>
    <w:rsid w:val="6FD83C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ind w:left="1035" w:right="1178"/>
      <w:jc w:val="center"/>
      <w:outlineLvl w:val="1"/>
    </w:pPr>
    <w:rPr>
      <w:rFonts w:ascii="方正小标宋简体" w:hAnsi="方正小标宋简体" w:eastAsia="方正小标宋简体" w:cs="方正小标宋简体"/>
      <w:sz w:val="44"/>
      <w:szCs w:val="44"/>
      <w:lang w:val="zh-CN" w:eastAsia="zh-CN" w:bidi="zh-CN"/>
    </w:rPr>
  </w:style>
  <w:style w:type="paragraph" w:styleId="3">
    <w:name w:val="heading 2"/>
    <w:basedOn w:val="1"/>
    <w:next w:val="1"/>
    <w:qFormat/>
    <w:uiPriority w:val="1"/>
    <w:pPr>
      <w:spacing w:before="201"/>
      <w:ind w:left="1035" w:right="1175"/>
      <w:jc w:val="center"/>
      <w:outlineLvl w:val="2"/>
    </w:pPr>
    <w:rPr>
      <w:rFonts w:ascii="黑体" w:hAnsi="黑体" w:eastAsia="黑体" w:cs="黑体"/>
      <w:sz w:val="36"/>
      <w:szCs w:val="36"/>
      <w:lang w:val="zh-CN" w:eastAsia="zh-CN" w:bidi="zh-CN"/>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仿宋" w:hAnsi="仿宋" w:eastAsia="仿宋" w:cs="仿宋"/>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rPr>
      <w:lang w:val="zh-CN" w:eastAsia="zh-CN" w:bidi="zh-CN"/>
    </w:rPr>
  </w:style>
  <w:style w:type="paragraph" w:customStyle="1" w:styleId="1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ScaleCrop>false</ScaleCrop>
  <LinksUpToDate>false</LinksUpToDate>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2021-04-25T02:43:00Z</dcterms:created>
  <dc:creator>张先玲/卫生局/FUZHOU</dc:creator>
  <cp:lastModifiedBy>坂原星里</cp:lastModifiedBy>
  <cp:lastPrinted>2021-07-06T08:48:15Z</cp:lastPrinted>
  <dcterms:modified xsi:type="dcterms:W3CDTF">2021-07-06T08:53:33Z</dcterms:modified>
  <dc:title>No:0000001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WPS Office</vt:lpwstr>
  </property>
  <property fmtid="{D5CDD505-2E9C-101B-9397-08002B2CF9AE}" pid="4" name="LastSaved">
    <vt:filetime>2021-04-25T00:00:00Z</vt:filetime>
  </property>
  <property fmtid="{D5CDD505-2E9C-101B-9397-08002B2CF9AE}" pid="5" name="KSOProductBuildVer">
    <vt:lpwstr>2052-11.1.0.10578</vt:lpwstr>
  </property>
  <property fmtid="{D5CDD505-2E9C-101B-9397-08002B2CF9AE}" pid="6" name="ICV">
    <vt:lpwstr>5BD843E267DE46D49034639829EB9DBD</vt:lpwstr>
  </property>
</Properties>
</file>