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p>
    <w:p>
      <w:pPr>
        <w:spacing w:line="560" w:lineRule="exact"/>
        <w:jc w:val="center"/>
        <w:rPr>
          <w:rFonts w:hint="default"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eastAsia="zh-CN"/>
        </w:rPr>
        <w:t>《龙岩市住房和城乡建设局关于印发龙岩市房屋市政小散工程安全生产信息登记指引（试行）等系列安全生产指引的通知》</w:t>
      </w:r>
      <w:r>
        <w:rPr>
          <w:rFonts w:hint="eastAsia" w:ascii="方正小标宋简体" w:hAnsi="方正小标宋简体" w:eastAsia="方正小标宋简体" w:cs="方正小标宋简体"/>
          <w:sz w:val="44"/>
          <w:szCs w:val="44"/>
          <w:lang w:val="en-US" w:eastAsia="zh-CN"/>
        </w:rPr>
        <w:t>文件解读</w:t>
      </w:r>
    </w:p>
    <w:p>
      <w:pPr>
        <w:spacing w:line="560" w:lineRule="exact"/>
        <w:jc w:val="center"/>
        <w:rPr>
          <w:rFonts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rPr>
      </w:pPr>
      <w:r>
        <w:rPr>
          <w:rFonts w:hint="eastAsia" w:ascii="黑体" w:hAnsi="黑体" w:eastAsia="黑体" w:cs="黑体"/>
          <w:sz w:val="32"/>
          <w:szCs w:val="32"/>
          <w:lang w:val="en-US" w:eastAsia="zh-CN"/>
        </w:rPr>
        <w:t>一、出台背景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为进一步加强我市房屋市政小散工程安全生产工作，落实参建各方主体责任，防范安全生产事故，加快推动小散工程纳管工作全面落地实施，依据《龙岩市房屋市政小散工程安全生产纳管暂行办法》，市住建局牵头制定本《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二、主要文件依据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eastAsia="仿宋_GB2312"/>
          <w:sz w:val="32"/>
          <w:szCs w:val="32"/>
          <w:lang w:val="en-US" w:eastAsia="zh-CN"/>
        </w:rPr>
        <w:t>1.</w:t>
      </w:r>
      <w:r>
        <w:rPr>
          <w:rFonts w:hint="eastAsia" w:ascii="仿宋_GB2312" w:hAnsi="仿宋_GB2312" w:eastAsia="仿宋_GB2312" w:cs="仿宋_GB2312"/>
          <w:sz w:val="32"/>
          <w:szCs w:val="32"/>
        </w:rPr>
        <w:t>《中华人民共和国安全生产法》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《建设工程安全生产管理条例》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eastAsia="仿宋_GB2312"/>
          <w:sz w:val="32"/>
          <w:szCs w:val="32"/>
          <w:lang w:val="en-US" w:eastAsia="zh-CN"/>
        </w:rPr>
        <w:t>《龙岩市房屋市政小散工程安全生产纳管暂行办法》</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本《通知》6个安全生产指引分别为：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1.《龙岩市房屋市政小散工程安全生产信息登记指引（试行）》</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2.《龙岩市房屋市政小散工程安全生产资质资格指引（试行）》</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3.《龙岩市房屋市政小散工程责任主体安全生产指引（试行）》</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4.《龙岩市房屋市政小散工程安全生产日常巡查指引（试行）》</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8" w:firstLineChars="0"/>
        <w:jc w:val="both"/>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5.《龙岩市房屋市政小散工程安全生产核查指引（试行）》</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both"/>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6.《龙岩市房屋市政小散工程安全生产执法工作指引（试行）》</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安全生产信息登记指引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内容涵盖6类房屋市政小散工程</w:t>
      </w:r>
      <w:r>
        <w:rPr>
          <w:rFonts w:hint="eastAsia" w:ascii="仿宋_GB2312" w:eastAsia="仿宋_GB2312"/>
          <w:sz w:val="32"/>
          <w:szCs w:val="32"/>
        </w:rPr>
        <w:t>纳管工作流程</w:t>
      </w:r>
      <w:r>
        <w:rPr>
          <w:rFonts w:hint="eastAsia" w:ascii="仿宋_GB2312" w:eastAsia="仿宋_GB2312"/>
          <w:sz w:val="32"/>
          <w:szCs w:val="32"/>
          <w:lang w:eastAsia="zh-CN"/>
        </w:rPr>
        <w:t>、</w:t>
      </w:r>
      <w:r>
        <w:rPr>
          <w:rFonts w:hint="eastAsia" w:ascii="仿宋_GB2312" w:eastAsia="仿宋_GB2312"/>
          <w:sz w:val="32"/>
          <w:szCs w:val="32"/>
          <w:lang w:val="en-US" w:eastAsia="zh-CN"/>
        </w:rPr>
        <w:t>信息登记表单、信息登记材料、</w:t>
      </w:r>
      <w:r>
        <w:rPr>
          <w:rFonts w:ascii="仿宋_GB2312" w:eastAsia="仿宋_GB2312"/>
          <w:sz w:val="32"/>
          <w:szCs w:val="32"/>
        </w:rPr>
        <w:t>风险告知书</w:t>
      </w:r>
      <w:r>
        <w:rPr>
          <w:rFonts w:hint="eastAsia" w:ascii="仿宋_GB2312" w:eastAsia="仿宋_GB2312"/>
          <w:sz w:val="32"/>
          <w:szCs w:val="32"/>
          <w:lang w:eastAsia="zh-CN"/>
        </w:rPr>
        <w:t>、</w:t>
      </w:r>
      <w:r>
        <w:rPr>
          <w:rFonts w:hint="eastAsia" w:ascii="仿宋_GB2312" w:eastAsia="仿宋_GB2312"/>
          <w:sz w:val="32"/>
          <w:szCs w:val="32"/>
          <w:lang w:val="en-US" w:eastAsia="zh-CN"/>
        </w:rPr>
        <w:t>安全生产承诺书。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1.限额以下的小型房屋建筑和市政基础设施工程(包括附属设施的建造和配套的线路、管道、设备的安装；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2.限额以下的公共建筑、商铺、办公楼、厂房等非住宅类房屋装饰装修;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3.经批准的临时建筑（是指单位和个人因生产、生活需要搭建的结构简易并在规定时限内应当拆除的建筑物、构筑物或者其他设施）建设活动；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4.限额以下的既有建筑外立面装饰装修、改造维护等建设活动;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5.既有住宅加装电梯（土建施工部分）；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6.其他按规定纳入小散工程予以安全生产监管的建设活动。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安全生产资质资格指引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内容涵盖企业资质</w:t>
      </w:r>
      <w:r>
        <w:rPr>
          <w:rFonts w:ascii="仿宋_GB2312" w:hAnsi="仿宋_GB2312" w:eastAsia="仿宋_GB2312" w:cs="仿宋_GB2312"/>
          <w:sz w:val="32"/>
          <w:szCs w:val="32"/>
        </w:rPr>
        <w:t>、注册执业人员的资格信息</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特种作业人员操作证信息查询方式等。</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责任主体安全生产指引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内容涵盖建设单位、施工单位、监理单位的安全生产主体责任，以及18项安全生产技术要求。</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安全生产日常巡查指引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内容涵盖13条日常巡查要点，供房屋市政小散工程巡查人员</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属地网格员、镇（街）委托的机构巡查人员或者物业服务企业巡查人员等</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开展安全生产日常巡查工作参考使用</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安全生产核查指引</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内容涵盖</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小散工程安全生产控停清单</w:t>
      </w:r>
      <w:r>
        <w:rPr>
          <w:rFonts w:hint="eastAsia" w:ascii="仿宋_GB2312" w:hAnsi="仿宋_GB2312" w:eastAsia="仿宋_GB2312" w:cs="仿宋_GB2312"/>
          <w:sz w:val="32"/>
          <w:szCs w:val="32"/>
          <w:lang w:eastAsia="zh-CN"/>
        </w:rPr>
        <w:t>、</w:t>
      </w:r>
      <w:r>
        <w:rPr>
          <w:rFonts w:hint="eastAsia" w:ascii="仿宋_GB2312" w:eastAsia="仿宋_GB2312"/>
          <w:sz w:val="32"/>
          <w:szCs w:val="32"/>
          <w:lang w:val="en-US" w:eastAsia="zh-CN"/>
        </w:rPr>
        <w:t>防护措施安全专项检查、预防高坠、预防触电、预防物体打击、预防脚手架坍塌、有限空间作业安全等13项安全专项检查表，</w:t>
      </w:r>
      <w:r>
        <w:rPr>
          <w:rFonts w:ascii="仿宋_GB2312" w:hAnsi="仿宋_GB2312" w:eastAsia="仿宋_GB2312" w:cs="仿宋_GB2312"/>
          <w:sz w:val="32"/>
          <w:szCs w:val="32"/>
        </w:rPr>
        <w:t>各</w:t>
      </w:r>
      <w:r>
        <w:rPr>
          <w:rFonts w:hint="eastAsia" w:ascii="仿宋_GB2312" w:hAnsi="仿宋_GB2312" w:eastAsia="仿宋_GB2312" w:cs="仿宋_GB2312"/>
          <w:sz w:val="32"/>
          <w:szCs w:val="32"/>
        </w:rPr>
        <w:t>地</w:t>
      </w:r>
      <w:r>
        <w:rPr>
          <w:rFonts w:ascii="仿宋_GB2312" w:hAnsi="仿宋_GB2312" w:eastAsia="仿宋_GB2312" w:cs="仿宋_GB2312"/>
          <w:sz w:val="32"/>
          <w:szCs w:val="32"/>
        </w:rPr>
        <w:t>开展</w:t>
      </w:r>
      <w:r>
        <w:rPr>
          <w:rFonts w:hint="eastAsia" w:ascii="仿宋_GB2312" w:hAnsi="仿宋_GB2312" w:eastAsia="仿宋_GB2312" w:cs="仿宋_GB2312"/>
          <w:sz w:val="32"/>
          <w:szCs w:val="32"/>
        </w:rPr>
        <w:t>房屋市政</w:t>
      </w:r>
      <w:r>
        <w:rPr>
          <w:rFonts w:ascii="仿宋_GB2312" w:hAnsi="仿宋_GB2312" w:eastAsia="仿宋_GB2312" w:cs="仿宋_GB2312"/>
          <w:sz w:val="32"/>
          <w:szCs w:val="32"/>
        </w:rPr>
        <w:t>小散工程安全生产条件核查或第三方专业机构巡查时参考使用。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安全生产执法工作指引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eastAsia="仿宋_GB2312"/>
          <w:sz w:val="32"/>
          <w:szCs w:val="32"/>
          <w:lang w:val="en-US" w:eastAsia="zh-CN"/>
        </w:rPr>
      </w:pPr>
      <w:r>
        <w:rPr>
          <w:rFonts w:hint="eastAsia" w:ascii="仿宋_GB2312" w:hAnsi="仿宋_GB2312" w:eastAsia="仿宋_GB2312" w:cs="仿宋_GB2312"/>
          <w:sz w:val="32"/>
          <w:szCs w:val="32"/>
          <w:lang w:val="en-US" w:eastAsia="zh-CN"/>
        </w:rPr>
        <w:t>内容涵盖建设单位、施工单位、</w:t>
      </w:r>
      <w:r>
        <w:rPr>
          <w:rFonts w:hint="eastAsia" w:ascii="仿宋_GB2312" w:hAnsi="仿宋_GB2312" w:eastAsia="仿宋_GB2312" w:cs="仿宋_GB2312"/>
          <w:sz w:val="32"/>
          <w:szCs w:val="32"/>
        </w:rPr>
        <w:t>建筑装修装修人（业主、使用人或者房地产开发企业）</w:t>
      </w:r>
      <w:r>
        <w:rPr>
          <w:rFonts w:hint="eastAsia" w:ascii="仿宋_GB2312" w:eastAsia="仿宋_GB2312"/>
          <w:sz w:val="32"/>
          <w:szCs w:val="32"/>
          <w:lang w:val="en-US" w:eastAsia="zh-CN"/>
        </w:rPr>
        <w:t>的安全生产主体责任，以及32条违法违规行和有关违反条款、处罚依据、执法措施。</w:t>
      </w:r>
    </w:p>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29B2E3-D8E9-4B21-AF22-51046E4A78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2" w:fontKey="{FC546100-3ACE-40A2-8F3F-3367476B6028}"/>
  </w:font>
  <w:font w:name="仿宋_GB2312">
    <w:panose1 w:val="02010609030101010101"/>
    <w:charset w:val="86"/>
    <w:family w:val="modern"/>
    <w:pitch w:val="default"/>
    <w:sig w:usb0="00000001" w:usb1="080E0000" w:usb2="00000000" w:usb3="00000000" w:csb0="00040000" w:csb1="00000000"/>
    <w:embedRegular r:id="rId3" w:fontKey="{9DE0592E-BA7E-4ACB-9A80-DF2624A4EAE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5579211"/>
    </w:sdtPr>
    <w:sdtEndPr>
      <w:rPr>
        <w:rFonts w:hint="eastAsia" w:ascii="仿宋_GB2312" w:eastAsia="仿宋_GB2312"/>
        <w:sz w:val="32"/>
        <w:szCs w:val="32"/>
      </w:rPr>
    </w:sdtEndPr>
    <w:sdtContent>
      <w:p>
        <w:pPr>
          <w:pStyle w:val="4"/>
          <w:jc w:val="right"/>
          <w:rPr>
            <w:rFonts w:ascii="仿宋_GB2312" w:eastAsia="仿宋_GB2312"/>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1 -</w:t>
        </w:r>
        <w:r>
          <w:rPr>
            <w:rFonts w:hint="eastAsia" w:ascii="仿宋_GB2312" w:eastAsia="仿宋_GB2312"/>
            <w:sz w:val="32"/>
            <w:szCs w:val="3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仿宋_GB2312" w:eastAsia="仿宋_GB2312"/>
        <w:sz w:val="32"/>
        <w:szCs w:val="32"/>
      </w:rPr>
      <w:id w:val="-1231992013"/>
    </w:sdtPr>
    <w:sdtEndPr>
      <w:rPr>
        <w:rFonts w:hint="eastAsia" w:ascii="仿宋_GB2312" w:eastAsia="仿宋_GB2312"/>
        <w:sz w:val="28"/>
        <w:szCs w:val="28"/>
      </w:rPr>
    </w:sdtEndPr>
    <w:sdtContent>
      <w:p>
        <w:pPr>
          <w:pStyle w:val="4"/>
          <w:rPr>
            <w:rFonts w:ascii="仿宋_GB2312" w:eastAsia="仿宋_GB2312"/>
            <w:sz w:val="28"/>
            <w:szCs w:val="28"/>
          </w:rPr>
        </w:pP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ascii="仿宋_GB2312" w:eastAsia="仿宋_GB2312"/>
            <w:sz w:val="32"/>
            <w:szCs w:val="32"/>
            <w:lang w:val="zh-CN"/>
          </w:rPr>
          <w:t>-</w:t>
        </w:r>
        <w:r>
          <w:rPr>
            <w:rFonts w:ascii="仿宋_GB2312" w:eastAsia="仿宋_GB2312"/>
            <w:sz w:val="32"/>
            <w:szCs w:val="32"/>
          </w:rPr>
          <w:t xml:space="preserve"> 2 -</w:t>
        </w:r>
        <w:r>
          <w:rPr>
            <w:rFonts w:hint="eastAsia" w:ascii="仿宋_GB2312" w:eastAsia="仿宋_GB2312"/>
            <w:sz w:val="32"/>
            <w:szCs w:val="32"/>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4AF914"/>
    <w:multiLevelType w:val="singleLevel"/>
    <w:tmpl w:val="3C4AF91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attachedTemplate r:id="rId1"/>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3ZmUzYTBjYmNhYzQxZjNiYzE0OTE2NmQyNmE1MDgifQ=="/>
  </w:docVars>
  <w:rsids>
    <w:rsidRoot w:val="011171DA"/>
    <w:rsid w:val="00027F9E"/>
    <w:rsid w:val="00042DB7"/>
    <w:rsid w:val="00172FAE"/>
    <w:rsid w:val="00443C97"/>
    <w:rsid w:val="005543D9"/>
    <w:rsid w:val="00BB5F07"/>
    <w:rsid w:val="00C36D4F"/>
    <w:rsid w:val="00D213D2"/>
    <w:rsid w:val="00D42976"/>
    <w:rsid w:val="00DB7376"/>
    <w:rsid w:val="00E57F19"/>
    <w:rsid w:val="00F36F83"/>
    <w:rsid w:val="00F709D7"/>
    <w:rsid w:val="00F9309D"/>
    <w:rsid w:val="011171DA"/>
    <w:rsid w:val="020A0467"/>
    <w:rsid w:val="049D4925"/>
    <w:rsid w:val="098710F8"/>
    <w:rsid w:val="0ABB73C8"/>
    <w:rsid w:val="0BBB6DAE"/>
    <w:rsid w:val="0E7A7BD4"/>
    <w:rsid w:val="10246CD9"/>
    <w:rsid w:val="11C56BB4"/>
    <w:rsid w:val="1A56221B"/>
    <w:rsid w:val="1BDF48A8"/>
    <w:rsid w:val="1E506D0A"/>
    <w:rsid w:val="216A715F"/>
    <w:rsid w:val="21D724CF"/>
    <w:rsid w:val="22ED3481"/>
    <w:rsid w:val="25105133"/>
    <w:rsid w:val="26987EF3"/>
    <w:rsid w:val="274A6DDF"/>
    <w:rsid w:val="2DF15178"/>
    <w:rsid w:val="31BB4A4B"/>
    <w:rsid w:val="340278EF"/>
    <w:rsid w:val="35D2691D"/>
    <w:rsid w:val="36407710"/>
    <w:rsid w:val="39250378"/>
    <w:rsid w:val="41D91034"/>
    <w:rsid w:val="429C453B"/>
    <w:rsid w:val="44FA073E"/>
    <w:rsid w:val="45B62E2B"/>
    <w:rsid w:val="4B1055C5"/>
    <w:rsid w:val="4B166E55"/>
    <w:rsid w:val="515C181F"/>
    <w:rsid w:val="528E3826"/>
    <w:rsid w:val="532540D9"/>
    <w:rsid w:val="5338203B"/>
    <w:rsid w:val="5778537A"/>
    <w:rsid w:val="586F543D"/>
    <w:rsid w:val="5AF91B74"/>
    <w:rsid w:val="5C927118"/>
    <w:rsid w:val="5EFA466C"/>
    <w:rsid w:val="61FE4473"/>
    <w:rsid w:val="6DBACB0F"/>
    <w:rsid w:val="6DC15D45"/>
    <w:rsid w:val="70980C54"/>
    <w:rsid w:val="724749C0"/>
    <w:rsid w:val="726E5E98"/>
    <w:rsid w:val="746D29FE"/>
    <w:rsid w:val="74C54152"/>
    <w:rsid w:val="75B54113"/>
    <w:rsid w:val="77B6509A"/>
    <w:rsid w:val="77D870BC"/>
    <w:rsid w:val="77E702AA"/>
    <w:rsid w:val="78617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4"/>
    <w:unhideWhenUsed/>
    <w:qFormat/>
    <w:uiPriority w:val="0"/>
    <w:pPr>
      <w:suppressAutoHyphens/>
      <w:spacing w:after="120"/>
    </w:pPr>
    <w:rPr>
      <w:rFonts w:ascii="Calibri" w:hAnsi="Calibri" w:eastAsia="宋体" w:cs="Times New Roman"/>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批注框文本 Char"/>
    <w:basedOn w:val="9"/>
    <w:link w:val="3"/>
    <w:semiHidden/>
    <w:qFormat/>
    <w:uiPriority w:val="99"/>
    <w:rPr>
      <w:kern w:val="2"/>
      <w:sz w:val="18"/>
      <w:szCs w:val="18"/>
    </w:rPr>
  </w:style>
  <w:style w:type="character" w:customStyle="1" w:styleId="13">
    <w:name w:val="正文文本 Char"/>
    <w:basedOn w:val="9"/>
    <w:link w:val="2"/>
    <w:semiHidden/>
    <w:qFormat/>
    <w:uiPriority w:val="99"/>
    <w:rPr>
      <w:kern w:val="2"/>
      <w:sz w:val="21"/>
      <w:szCs w:val="22"/>
    </w:rPr>
  </w:style>
  <w:style w:type="character" w:customStyle="1" w:styleId="14">
    <w:name w:val="正文文本 Char1"/>
    <w:link w:val="2"/>
    <w:qFormat/>
    <w:locked/>
    <w:uiPriority w:val="0"/>
    <w:rPr>
      <w:rFonts w:ascii="Calibri" w:hAnsi="Calibri" w:eastAsia="宋体" w:cs="Times New Roman"/>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0844;&#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ECE7423-53C2-4D6B-A8BE-02471C472934}">
  <ds:schemaRefs/>
</ds:datastoreItem>
</file>

<file path=docProps/app.xml><?xml version="1.0" encoding="utf-8"?>
<Properties xmlns="http://schemas.openxmlformats.org/officeDocument/2006/extended-properties" xmlns:vt="http://schemas.openxmlformats.org/officeDocument/2006/docPropsVTypes">
  <Template>公文模板</Template>
  <Pages>3</Pages>
  <Words>1084</Words>
  <Characters>1103</Characters>
  <Lines>5</Lines>
  <Paragraphs>1</Paragraphs>
  <TotalTime>5</TotalTime>
  <ScaleCrop>false</ScaleCrop>
  <LinksUpToDate>false</LinksUpToDate>
  <CharactersWithSpaces>1103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2023-12-01T07:05:00Z</dcterms:created>
  <dc:creator>大饼_梁斌</dc:creator>
  <cp:lastModifiedBy>A</cp:lastModifiedBy>
  <cp:lastPrinted>2024-06-07T03:36:00Z</cp:lastPrinted>
  <dcterms:modified xsi:type="dcterms:W3CDTF">2024-07-04T01:35:53Z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9D3D403836304DBFBD40BCBB6076354A_13</vt:lpwstr>
  </property>
</Properties>
</file>